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8D" w:rsidRPr="00B22CC1" w:rsidRDefault="00EC6F8D" w:rsidP="00EC6F8D">
      <w:pPr>
        <w:spacing w:before="1440"/>
        <w:jc w:val="center"/>
        <w:rPr>
          <w:rFonts w:ascii="Arial" w:hAnsi="Arial" w:cs="Arial"/>
          <w:b/>
          <w:sz w:val="22"/>
          <w:szCs w:val="22"/>
          <w:lang w:val="en-GB"/>
        </w:rPr>
      </w:pPr>
      <w:r w:rsidRPr="00B22CC1">
        <w:rPr>
          <w:rFonts w:ascii="Arial" w:hAnsi="Arial" w:cs="Arial"/>
          <w:b/>
          <w:sz w:val="22"/>
          <w:szCs w:val="22"/>
          <w:lang w:val="en-GB"/>
        </w:rPr>
        <w:t>CONVENT</w:t>
      </w:r>
      <w:r w:rsidR="00785D88">
        <w:rPr>
          <w:rFonts w:ascii="Arial" w:hAnsi="Arial" w:cs="Arial"/>
          <w:b/>
          <w:sz w:val="22"/>
          <w:szCs w:val="22"/>
          <w:lang w:val="en-GB"/>
        </w:rPr>
        <w:t>ION FOR THE SAFEGUARDING OF THE</w:t>
      </w:r>
      <w:r w:rsidRPr="00B22CC1">
        <w:rPr>
          <w:rFonts w:ascii="Arial" w:hAnsi="Arial" w:cs="Arial"/>
          <w:b/>
          <w:sz w:val="22"/>
          <w:szCs w:val="22"/>
          <w:lang w:val="en-GB"/>
        </w:rPr>
        <w:br/>
        <w:t>INTANGIBLE CULTURAL HERITAGE</w:t>
      </w:r>
    </w:p>
    <w:p w:rsidR="00EC6F8D" w:rsidRPr="00B22CC1" w:rsidRDefault="00EC6F8D" w:rsidP="00EC6F8D">
      <w:pPr>
        <w:spacing w:before="1200"/>
        <w:jc w:val="center"/>
        <w:rPr>
          <w:rFonts w:ascii="Arial" w:hAnsi="Arial" w:cs="Arial"/>
          <w:b/>
          <w:sz w:val="22"/>
          <w:szCs w:val="22"/>
          <w:lang w:val="en-GB"/>
        </w:rPr>
      </w:pPr>
      <w:r w:rsidRPr="00B22CC1">
        <w:rPr>
          <w:rFonts w:ascii="Arial" w:hAnsi="Arial" w:cs="Arial"/>
          <w:b/>
          <w:sz w:val="22"/>
          <w:szCs w:val="22"/>
          <w:lang w:val="en-GB"/>
        </w:rPr>
        <w:t>INTERGOVERNMENTAL COMMITTEE FOR THE</w:t>
      </w:r>
      <w:r w:rsidRPr="00B22CC1">
        <w:rPr>
          <w:rFonts w:ascii="Arial" w:hAnsi="Arial" w:cs="Arial"/>
          <w:b/>
          <w:sz w:val="22"/>
          <w:szCs w:val="22"/>
          <w:lang w:val="en-GB"/>
        </w:rPr>
        <w:br/>
        <w:t>SAFEGUARDING OF THE INTANGIBLE CULTURAL HERITAGE</w:t>
      </w:r>
    </w:p>
    <w:p w:rsidR="00EC6F8D" w:rsidRPr="00B22CC1" w:rsidRDefault="00CB0542" w:rsidP="00AF2597">
      <w:pPr>
        <w:spacing w:before="840" w:after="0"/>
        <w:jc w:val="center"/>
        <w:rPr>
          <w:rFonts w:ascii="Arial" w:hAnsi="Arial" w:cs="Arial"/>
          <w:b/>
          <w:sz w:val="22"/>
          <w:szCs w:val="22"/>
          <w:lang w:val="en-GB"/>
        </w:rPr>
      </w:pPr>
      <w:r w:rsidRPr="00B22CC1">
        <w:rPr>
          <w:rFonts w:ascii="Arial" w:hAnsi="Arial" w:cs="Arial"/>
          <w:b/>
          <w:sz w:val="22"/>
          <w:szCs w:val="22"/>
          <w:lang w:val="en-GB"/>
        </w:rPr>
        <w:t>Eleventh</w:t>
      </w:r>
      <w:r w:rsidR="00EC6F8D" w:rsidRPr="00B22CC1">
        <w:rPr>
          <w:rFonts w:ascii="Arial" w:hAnsi="Arial" w:cs="Arial"/>
          <w:b/>
          <w:sz w:val="22"/>
          <w:szCs w:val="22"/>
          <w:lang w:val="en-GB"/>
        </w:rPr>
        <w:t xml:space="preserve"> session</w:t>
      </w:r>
    </w:p>
    <w:p w:rsidR="009D5428" w:rsidRPr="00B22CC1" w:rsidRDefault="00D7381B" w:rsidP="00AF2597">
      <w:pPr>
        <w:spacing w:before="0" w:after="0"/>
        <w:jc w:val="center"/>
        <w:rPr>
          <w:rFonts w:ascii="Arial" w:hAnsi="Arial" w:cs="Arial"/>
          <w:b/>
          <w:sz w:val="22"/>
          <w:szCs w:val="22"/>
          <w:lang w:val="en-GB"/>
        </w:rPr>
      </w:pPr>
      <w:r>
        <w:rPr>
          <w:rFonts w:ascii="Arial" w:hAnsi="Arial" w:cs="Arial"/>
          <w:b/>
          <w:sz w:val="22"/>
          <w:szCs w:val="22"/>
          <w:lang w:val="en-GB"/>
        </w:rPr>
        <w:t>Addis Ababa, Ethiopia</w:t>
      </w:r>
    </w:p>
    <w:p w:rsidR="00EC6F8D" w:rsidRPr="00B22CC1" w:rsidRDefault="00CB0542" w:rsidP="00AF2597">
      <w:pPr>
        <w:spacing w:before="0" w:after="0"/>
        <w:jc w:val="center"/>
        <w:rPr>
          <w:rFonts w:ascii="Arial" w:hAnsi="Arial" w:cs="Arial"/>
          <w:b/>
          <w:sz w:val="22"/>
          <w:szCs w:val="22"/>
          <w:lang w:val="en-GB"/>
        </w:rPr>
      </w:pPr>
      <w:r w:rsidRPr="00B22CC1">
        <w:rPr>
          <w:rFonts w:ascii="Arial" w:hAnsi="Arial" w:cs="Arial"/>
          <w:b/>
          <w:sz w:val="22"/>
          <w:szCs w:val="22"/>
          <w:lang w:val="en-GB"/>
        </w:rPr>
        <w:t>28</w:t>
      </w:r>
      <w:r w:rsidR="00D8250F" w:rsidRPr="00B22CC1">
        <w:rPr>
          <w:rFonts w:ascii="Arial" w:hAnsi="Arial" w:cs="Arial"/>
          <w:b/>
          <w:sz w:val="22"/>
          <w:szCs w:val="22"/>
          <w:lang w:val="en-GB"/>
        </w:rPr>
        <w:t xml:space="preserve"> November</w:t>
      </w:r>
      <w:r w:rsidR="00EC6F8D" w:rsidRPr="00B22CC1">
        <w:rPr>
          <w:rFonts w:ascii="Arial" w:hAnsi="Arial" w:cs="Arial"/>
          <w:b/>
          <w:sz w:val="22"/>
          <w:szCs w:val="22"/>
          <w:lang w:val="en-GB"/>
        </w:rPr>
        <w:t xml:space="preserve"> to </w:t>
      </w:r>
      <w:r w:rsidRPr="00B22CC1">
        <w:rPr>
          <w:rFonts w:ascii="Arial" w:hAnsi="Arial" w:cs="Arial"/>
          <w:b/>
          <w:sz w:val="22"/>
          <w:szCs w:val="22"/>
          <w:lang w:val="en-GB"/>
        </w:rPr>
        <w:t>2 December 2016</w:t>
      </w:r>
    </w:p>
    <w:p w:rsidR="00EC6F8D" w:rsidRPr="00B22CC1" w:rsidRDefault="00EC6F8D" w:rsidP="00EC6F8D">
      <w:pPr>
        <w:pStyle w:val="Sansinterligne2"/>
        <w:spacing w:before="1200"/>
        <w:jc w:val="center"/>
        <w:rPr>
          <w:rFonts w:ascii="Arial" w:hAnsi="Arial" w:cs="Arial"/>
          <w:b/>
          <w:sz w:val="22"/>
          <w:szCs w:val="22"/>
          <w:lang w:val="en-GB"/>
        </w:rPr>
      </w:pPr>
      <w:r w:rsidRPr="00B22CC1">
        <w:rPr>
          <w:rFonts w:ascii="Arial" w:hAnsi="Arial" w:cs="Arial"/>
          <w:b/>
          <w:sz w:val="22"/>
          <w:szCs w:val="22"/>
          <w:u w:val="single"/>
          <w:lang w:val="en-GB"/>
        </w:rPr>
        <w:t xml:space="preserve">Item </w:t>
      </w:r>
      <w:r w:rsidR="00C0741C" w:rsidRPr="00B22CC1">
        <w:rPr>
          <w:rFonts w:ascii="Arial" w:hAnsi="Arial" w:cs="Arial"/>
          <w:b/>
          <w:sz w:val="22"/>
          <w:szCs w:val="22"/>
          <w:u w:val="single"/>
          <w:lang w:val="en-GB"/>
        </w:rPr>
        <w:t>13</w:t>
      </w:r>
      <w:r w:rsidRPr="00B22CC1">
        <w:rPr>
          <w:rFonts w:ascii="Arial" w:hAnsi="Arial" w:cs="Arial"/>
          <w:b/>
          <w:sz w:val="22"/>
          <w:szCs w:val="22"/>
          <w:u w:val="single"/>
          <w:lang w:val="en-GB"/>
        </w:rPr>
        <w:t xml:space="preserve"> of the Provisional Agenda</w:t>
      </w:r>
      <w:r w:rsidRPr="00B22CC1">
        <w:rPr>
          <w:rFonts w:ascii="Arial" w:hAnsi="Arial" w:cs="Arial"/>
          <w:b/>
          <w:sz w:val="22"/>
          <w:szCs w:val="22"/>
          <w:lang w:val="en-GB"/>
        </w:rPr>
        <w:t>:</w:t>
      </w:r>
    </w:p>
    <w:p w:rsidR="00EC6F8D" w:rsidRPr="00B22CC1" w:rsidRDefault="00C0741C" w:rsidP="00EC6F8D">
      <w:pPr>
        <w:pStyle w:val="Sansinterligne2"/>
        <w:spacing w:after="1200"/>
        <w:jc w:val="center"/>
        <w:rPr>
          <w:rFonts w:ascii="Arial" w:hAnsi="Arial" w:cs="Arial"/>
          <w:b/>
          <w:sz w:val="22"/>
          <w:szCs w:val="22"/>
          <w:lang w:val="en-GB"/>
        </w:rPr>
      </w:pPr>
      <w:r w:rsidRPr="00B22CC1">
        <w:rPr>
          <w:rFonts w:ascii="Arial" w:hAnsi="Arial" w:cs="Arial"/>
          <w:b/>
          <w:sz w:val="22"/>
          <w:szCs w:val="22"/>
          <w:lang w:val="en-GB"/>
        </w:rPr>
        <w:t xml:space="preserve">Reflection on </w:t>
      </w:r>
      <w:r w:rsidR="00F47A07">
        <w:rPr>
          <w:rFonts w:ascii="Arial" w:hAnsi="Arial" w:cs="Arial"/>
          <w:b/>
          <w:sz w:val="22"/>
          <w:szCs w:val="22"/>
          <w:lang w:val="en-GB"/>
        </w:rPr>
        <w:t xml:space="preserve">the </w:t>
      </w:r>
      <w:r w:rsidRPr="00B22CC1">
        <w:rPr>
          <w:rFonts w:ascii="Arial" w:hAnsi="Arial" w:cs="Arial"/>
          <w:b/>
          <w:sz w:val="22"/>
          <w:szCs w:val="22"/>
          <w:lang w:val="en-GB"/>
        </w:rPr>
        <w:t>transfer of an element from one List to the other</w:t>
      </w:r>
      <w:r w:rsidRPr="00B22CC1">
        <w:rPr>
          <w:rFonts w:ascii="Arial" w:hAnsi="Arial" w:cs="Arial"/>
          <w:b/>
          <w:sz w:val="22"/>
          <w:szCs w:val="22"/>
          <w:lang w:val="en-GB"/>
        </w:rPr>
        <w:br/>
        <w:t xml:space="preserve">and </w:t>
      </w:r>
      <w:r w:rsidR="00F47A07">
        <w:rPr>
          <w:rFonts w:ascii="Arial" w:hAnsi="Arial" w:cs="Arial"/>
          <w:b/>
          <w:sz w:val="22"/>
          <w:szCs w:val="22"/>
          <w:lang w:val="en-GB"/>
        </w:rPr>
        <w:t xml:space="preserve">the </w:t>
      </w:r>
      <w:r w:rsidRPr="00B22CC1">
        <w:rPr>
          <w:rFonts w:ascii="Arial" w:hAnsi="Arial" w:cs="Arial"/>
          <w:b/>
          <w:sz w:val="22"/>
          <w:szCs w:val="22"/>
          <w:lang w:val="en-GB"/>
        </w:rPr>
        <w:t>removal of an element from a List</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A03B0B" w:rsidTr="00EC6F8D">
        <w:trPr>
          <w:jc w:val="center"/>
        </w:trPr>
        <w:tc>
          <w:tcPr>
            <w:tcW w:w="5670" w:type="dxa"/>
            <w:vAlign w:val="center"/>
          </w:tcPr>
          <w:p w:rsidR="00EC6F8D" w:rsidRPr="00B22CC1" w:rsidRDefault="00EC6F8D" w:rsidP="00AF2597">
            <w:pPr>
              <w:pStyle w:val="Sansinterligne1"/>
              <w:spacing w:before="200" w:after="200"/>
              <w:ind w:left="35"/>
              <w:jc w:val="center"/>
              <w:rPr>
                <w:rFonts w:ascii="Arial" w:hAnsi="Arial" w:cs="Arial"/>
                <w:b/>
                <w:sz w:val="22"/>
                <w:szCs w:val="22"/>
                <w:lang w:val="en-GB"/>
              </w:rPr>
            </w:pPr>
            <w:r w:rsidRPr="00B22CC1">
              <w:rPr>
                <w:rFonts w:ascii="Arial" w:hAnsi="Arial" w:cs="Arial"/>
                <w:b/>
                <w:sz w:val="22"/>
                <w:szCs w:val="22"/>
                <w:lang w:val="en-GB"/>
              </w:rPr>
              <w:t>Summary</w:t>
            </w:r>
          </w:p>
          <w:p w:rsidR="00EC6F8D" w:rsidRPr="00B22CC1" w:rsidRDefault="00FA02FF" w:rsidP="00AF2597">
            <w:pPr>
              <w:pStyle w:val="Sansinterligne1"/>
              <w:ind w:left="35"/>
              <w:rPr>
                <w:rFonts w:ascii="Arial" w:hAnsi="Arial" w:cs="Arial"/>
                <w:bCs/>
                <w:sz w:val="22"/>
                <w:szCs w:val="22"/>
                <w:lang w:val="en-GB"/>
              </w:rPr>
            </w:pPr>
            <w:r>
              <w:rPr>
                <w:rFonts w:ascii="Arial" w:hAnsi="Arial" w:cs="Arial"/>
                <w:sz w:val="22"/>
                <w:szCs w:val="22"/>
                <w:lang w:val="en-GB"/>
              </w:rPr>
              <w:t>At its tenth session in 2015, when examining the first transfer reques</w:t>
            </w:r>
            <w:r w:rsidR="00082B77">
              <w:rPr>
                <w:rFonts w:ascii="Arial" w:hAnsi="Arial" w:cs="Arial"/>
                <w:sz w:val="22"/>
                <w:szCs w:val="22"/>
                <w:lang w:val="en-GB"/>
              </w:rPr>
              <w:t xml:space="preserve">t submitted by </w:t>
            </w:r>
            <w:r>
              <w:rPr>
                <w:rFonts w:ascii="Arial" w:hAnsi="Arial" w:cs="Arial"/>
                <w:sz w:val="22"/>
                <w:szCs w:val="22"/>
                <w:lang w:val="en-GB"/>
              </w:rPr>
              <w:t xml:space="preserve">Viet Nam, the Committee decided to start a general reflection on </w:t>
            </w:r>
            <w:r w:rsidR="0063247C">
              <w:rPr>
                <w:rFonts w:ascii="Arial" w:hAnsi="Arial" w:cs="Arial"/>
                <w:sz w:val="22"/>
                <w:szCs w:val="22"/>
                <w:lang w:val="en-GB"/>
              </w:rPr>
              <w:t xml:space="preserve">the </w:t>
            </w:r>
            <w:r w:rsidRPr="00FA02FF">
              <w:rPr>
                <w:rFonts w:ascii="Arial" w:hAnsi="Arial" w:cs="Arial"/>
                <w:sz w:val="22"/>
                <w:szCs w:val="22"/>
                <w:lang w:val="en-GB"/>
              </w:rPr>
              <w:t>transfer of an element from one List to the other</w:t>
            </w:r>
            <w:r>
              <w:rPr>
                <w:rFonts w:ascii="Arial" w:hAnsi="Arial" w:cs="Arial"/>
                <w:sz w:val="22"/>
                <w:szCs w:val="22"/>
                <w:lang w:val="en-GB"/>
              </w:rPr>
              <w:t xml:space="preserve"> and </w:t>
            </w:r>
            <w:r w:rsidR="0063247C">
              <w:rPr>
                <w:rFonts w:ascii="Arial" w:hAnsi="Arial" w:cs="Arial"/>
                <w:sz w:val="22"/>
                <w:szCs w:val="22"/>
                <w:lang w:val="en-GB"/>
              </w:rPr>
              <w:t xml:space="preserve">the </w:t>
            </w:r>
            <w:r w:rsidRPr="00FA02FF">
              <w:rPr>
                <w:rFonts w:ascii="Arial" w:hAnsi="Arial" w:cs="Arial"/>
                <w:sz w:val="22"/>
                <w:szCs w:val="22"/>
                <w:lang w:val="en-GB"/>
              </w:rPr>
              <w:t>removal of an element from a List</w:t>
            </w:r>
            <w:r>
              <w:rPr>
                <w:rFonts w:ascii="Arial" w:hAnsi="Arial" w:cs="Arial"/>
                <w:sz w:val="22"/>
                <w:szCs w:val="22"/>
                <w:lang w:val="en-GB"/>
              </w:rPr>
              <w:t xml:space="preserve">. </w:t>
            </w:r>
            <w:r w:rsidR="00E357AF" w:rsidRPr="004E6050">
              <w:rPr>
                <w:rFonts w:ascii="Arial" w:hAnsi="Arial" w:cs="Arial"/>
                <w:sz w:val="22"/>
                <w:szCs w:val="22"/>
                <w:lang w:val="en-GB"/>
              </w:rPr>
              <w:t xml:space="preserve">The present document </w:t>
            </w:r>
            <w:r w:rsidR="00082B77">
              <w:rPr>
                <w:rFonts w:ascii="Arial" w:hAnsi="Arial" w:cs="Arial"/>
                <w:sz w:val="22"/>
                <w:szCs w:val="22"/>
                <w:lang w:val="en-GB"/>
              </w:rPr>
              <w:t>aims to facilitate</w:t>
            </w:r>
            <w:r w:rsidR="00E357AF" w:rsidRPr="004E6050">
              <w:rPr>
                <w:rFonts w:ascii="Arial" w:hAnsi="Arial" w:cs="Arial"/>
                <w:sz w:val="22"/>
                <w:szCs w:val="22"/>
                <w:lang w:val="en-GB"/>
              </w:rPr>
              <w:t xml:space="preserve"> such a reflection.</w:t>
            </w:r>
          </w:p>
          <w:p w:rsidR="00EC6F8D" w:rsidRPr="00B22CC1" w:rsidRDefault="00EC6F8D" w:rsidP="00785D88">
            <w:pPr>
              <w:pStyle w:val="Sansinterligne2"/>
              <w:spacing w:before="200" w:after="200"/>
              <w:ind w:left="0"/>
              <w:rPr>
                <w:rFonts w:ascii="Arial" w:hAnsi="Arial" w:cs="Arial"/>
                <w:b/>
                <w:sz w:val="22"/>
                <w:szCs w:val="22"/>
                <w:lang w:val="en-GB"/>
              </w:rPr>
            </w:pPr>
            <w:r w:rsidRPr="00B22CC1">
              <w:rPr>
                <w:rFonts w:ascii="Arial" w:hAnsi="Arial" w:cs="Arial"/>
                <w:b/>
                <w:sz w:val="22"/>
                <w:szCs w:val="22"/>
                <w:lang w:val="en-GB"/>
              </w:rPr>
              <w:t xml:space="preserve">Decision required: </w:t>
            </w:r>
            <w:r w:rsidRPr="00B22CC1">
              <w:rPr>
                <w:rFonts w:ascii="Arial" w:hAnsi="Arial" w:cs="Arial"/>
                <w:bCs/>
                <w:sz w:val="22"/>
                <w:szCs w:val="22"/>
                <w:lang w:val="en-GB"/>
              </w:rPr>
              <w:t xml:space="preserve">paragraph </w:t>
            </w:r>
            <w:r w:rsidR="00AF2597" w:rsidRPr="006068DC">
              <w:rPr>
                <w:rFonts w:ascii="Arial" w:hAnsi="Arial" w:cs="Arial"/>
                <w:bCs/>
                <w:sz w:val="22"/>
                <w:szCs w:val="22"/>
                <w:lang w:val="en-GB"/>
              </w:rPr>
              <w:t>1</w:t>
            </w:r>
            <w:r w:rsidR="00660247" w:rsidRPr="006068DC">
              <w:rPr>
                <w:rFonts w:ascii="Arial" w:hAnsi="Arial" w:cs="Arial"/>
                <w:bCs/>
                <w:sz w:val="22"/>
                <w:szCs w:val="22"/>
                <w:lang w:val="en-GB"/>
              </w:rPr>
              <w:t>7</w:t>
            </w:r>
          </w:p>
        </w:tc>
      </w:tr>
    </w:tbl>
    <w:p w:rsidR="00800776" w:rsidRDefault="00655736" w:rsidP="00D5662B">
      <w:pPr>
        <w:pStyle w:val="COMPara"/>
        <w:ind w:left="567" w:hanging="567"/>
      </w:pPr>
      <w:r w:rsidRPr="00B22CC1">
        <w:br w:type="page"/>
      </w:r>
    </w:p>
    <w:p w:rsidR="00800776" w:rsidRPr="00800776" w:rsidRDefault="00800776" w:rsidP="00800776">
      <w:pPr>
        <w:pStyle w:val="COMPara"/>
        <w:numPr>
          <w:ilvl w:val="0"/>
          <w:numId w:val="0"/>
        </w:numPr>
        <w:ind w:left="567"/>
        <w:rPr>
          <w:b/>
        </w:rPr>
      </w:pPr>
      <w:r w:rsidRPr="00800776">
        <w:rPr>
          <w:b/>
        </w:rPr>
        <w:lastRenderedPageBreak/>
        <w:t>Background</w:t>
      </w:r>
    </w:p>
    <w:p w:rsidR="00E37AF9" w:rsidRDefault="008D1BA5" w:rsidP="00B1584B">
      <w:pPr>
        <w:pStyle w:val="COMPara"/>
        <w:numPr>
          <w:ilvl w:val="0"/>
          <w:numId w:val="22"/>
        </w:numPr>
        <w:spacing w:before="0"/>
        <w:ind w:left="567" w:hanging="567"/>
      </w:pPr>
      <w:r w:rsidRPr="00F47A07">
        <w:rPr>
          <w:rFonts w:eastAsia="Arial"/>
        </w:rPr>
        <w:t xml:space="preserve">At </w:t>
      </w:r>
      <w:r w:rsidR="00C22C10">
        <w:rPr>
          <w:rFonts w:eastAsia="Arial"/>
        </w:rPr>
        <w:t>the</w:t>
      </w:r>
      <w:r w:rsidR="00C22C10" w:rsidRPr="00F47A07">
        <w:rPr>
          <w:rFonts w:eastAsia="Arial"/>
        </w:rPr>
        <w:t xml:space="preserve"> </w:t>
      </w:r>
      <w:r w:rsidRPr="00F47A07">
        <w:rPr>
          <w:rFonts w:eastAsia="Arial"/>
        </w:rPr>
        <w:t xml:space="preserve">tenth session in </w:t>
      </w:r>
      <w:r w:rsidRPr="00800776">
        <w:t>November</w:t>
      </w:r>
      <w:r w:rsidRPr="00F47A07">
        <w:rPr>
          <w:rFonts w:eastAsia="Arial"/>
        </w:rPr>
        <w:t xml:space="preserve">/December 2015, </w:t>
      </w:r>
      <w:r w:rsidR="00CD5750">
        <w:rPr>
          <w:rFonts w:eastAsia="Arial"/>
        </w:rPr>
        <w:t xml:space="preserve">the Secretariat informed </w:t>
      </w:r>
      <w:r w:rsidRPr="00F47A07">
        <w:rPr>
          <w:rFonts w:eastAsia="Arial"/>
        </w:rPr>
        <w:t xml:space="preserve">the Committee about </w:t>
      </w:r>
      <w:r w:rsidR="00CD5750">
        <w:rPr>
          <w:rFonts w:eastAsia="Arial"/>
        </w:rPr>
        <w:t>Viet</w:t>
      </w:r>
      <w:r w:rsidR="001071C7">
        <w:rPr>
          <w:rFonts w:eastAsia="Arial"/>
        </w:rPr>
        <w:t xml:space="preserve"> N</w:t>
      </w:r>
      <w:r w:rsidR="00CD5750">
        <w:rPr>
          <w:rFonts w:eastAsia="Arial"/>
        </w:rPr>
        <w:t>am’s</w:t>
      </w:r>
      <w:r w:rsidR="00CD5750" w:rsidRPr="00F47A07">
        <w:rPr>
          <w:rFonts w:eastAsia="Arial"/>
        </w:rPr>
        <w:t xml:space="preserve"> </w:t>
      </w:r>
      <w:r w:rsidRPr="00B22CC1">
        <w:t>request to transfer the element ‘Xoan singing of Phú Thọ Province, Viet</w:t>
      </w:r>
      <w:r w:rsidR="006068DC">
        <w:t> N</w:t>
      </w:r>
      <w:r w:rsidRPr="00B22CC1">
        <w:t>am’ from the List of Intangible Cultural Heritage in Need of Urgent Safeguarding</w:t>
      </w:r>
      <w:r w:rsidR="00800776">
        <w:t xml:space="preserve"> (</w:t>
      </w:r>
      <w:r w:rsidR="008D33F6">
        <w:rPr>
          <w:rFonts w:eastAsia="Malgun Gothic" w:hint="eastAsia"/>
          <w:lang w:eastAsia="ko-KR"/>
        </w:rPr>
        <w:t>hereinafter</w:t>
      </w:r>
      <w:r w:rsidR="00800776">
        <w:t xml:space="preserve"> </w:t>
      </w:r>
      <w:r w:rsidR="00D7381B">
        <w:rPr>
          <w:rFonts w:eastAsia="Malgun Gothic"/>
          <w:lang w:eastAsia="ko-KR"/>
        </w:rPr>
        <w:t>‘</w:t>
      </w:r>
      <w:r w:rsidR="00800776">
        <w:t>the Urgent Safeguarding List</w:t>
      </w:r>
      <w:r w:rsidR="00D7381B">
        <w:t>’</w:t>
      </w:r>
      <w:r w:rsidR="00800776">
        <w:t>)</w:t>
      </w:r>
      <w:r w:rsidRPr="00B22CC1">
        <w:t xml:space="preserve"> to the Representative List of the Intangible Cultural Heritage of Humanity</w:t>
      </w:r>
      <w:r w:rsidR="00800776">
        <w:t xml:space="preserve"> (</w:t>
      </w:r>
      <w:r w:rsidR="008D33F6">
        <w:rPr>
          <w:rFonts w:eastAsia="Malgun Gothic" w:hint="eastAsia"/>
          <w:lang w:eastAsia="ko-KR"/>
        </w:rPr>
        <w:t>hereinafter</w:t>
      </w:r>
      <w:r w:rsidR="00F47A07">
        <w:t xml:space="preserve"> </w:t>
      </w:r>
      <w:r w:rsidR="00D7381B">
        <w:rPr>
          <w:rFonts w:eastAsia="Malgun Gothic"/>
          <w:lang w:eastAsia="ko-KR"/>
        </w:rPr>
        <w:t>‘</w:t>
      </w:r>
      <w:r w:rsidR="00F47A07">
        <w:t xml:space="preserve">the </w:t>
      </w:r>
      <w:r w:rsidR="002B3A7C">
        <w:t>Representative List</w:t>
      </w:r>
      <w:r w:rsidR="00D7381B">
        <w:rPr>
          <w:rFonts w:eastAsia="Malgun Gothic"/>
          <w:lang w:eastAsia="ko-KR"/>
        </w:rPr>
        <w:t>’</w:t>
      </w:r>
      <w:r w:rsidR="00800776">
        <w:t>)</w:t>
      </w:r>
      <w:r w:rsidRPr="00B22CC1">
        <w:t xml:space="preserve">. </w:t>
      </w:r>
      <w:r w:rsidR="00F47A07">
        <w:t xml:space="preserve">Having treated this request </w:t>
      </w:r>
      <w:r w:rsidR="00284EFE">
        <w:t xml:space="preserve">on an exceptional basis, </w:t>
      </w:r>
      <w:r w:rsidR="00F47A07">
        <w:t xml:space="preserve">the Committee </w:t>
      </w:r>
      <w:r w:rsidR="00C15F92" w:rsidRPr="00B22CC1">
        <w:t xml:space="preserve">decided to </w:t>
      </w:r>
      <w:r w:rsidR="0039561C" w:rsidRPr="00B22CC1">
        <w:t>begin a process of reflection</w:t>
      </w:r>
      <w:r w:rsidR="00C15F92" w:rsidRPr="00B22CC1">
        <w:t xml:space="preserve"> </w:t>
      </w:r>
      <w:r w:rsidR="00284EFE">
        <w:t xml:space="preserve">‘in order to establish clear procedures for the removal of an element from a List and the transfer from one </w:t>
      </w:r>
      <w:r w:rsidR="003201CA">
        <w:t xml:space="preserve">List </w:t>
      </w:r>
      <w:r w:rsidR="00284EFE">
        <w:t>to the other’</w:t>
      </w:r>
      <w:r w:rsidR="006F1BE0" w:rsidRPr="00B22CC1">
        <w:t xml:space="preserve"> (</w:t>
      </w:r>
      <w:hyperlink r:id="rId8" w:history="1">
        <w:r w:rsidR="006F1BE0" w:rsidRPr="008220FD">
          <w:rPr>
            <w:rStyle w:val="Hyperlink"/>
          </w:rPr>
          <w:t>Decision</w:t>
        </w:r>
        <w:r w:rsidR="00E941FA">
          <w:rPr>
            <w:rStyle w:val="Hyperlink"/>
          </w:rPr>
          <w:t> </w:t>
        </w:r>
        <w:r w:rsidR="006F1BE0" w:rsidRPr="008220FD">
          <w:rPr>
            <w:rStyle w:val="Hyperlink"/>
          </w:rPr>
          <w:t>10.COM 19</w:t>
        </w:r>
      </w:hyperlink>
      <w:r w:rsidR="006F1BE0" w:rsidRPr="00B22CC1">
        <w:t>)</w:t>
      </w:r>
      <w:r w:rsidR="00C15F92" w:rsidRPr="00B22CC1">
        <w:t>.</w:t>
      </w:r>
      <w:r w:rsidR="00284EFE">
        <w:t xml:space="preserve"> The Committee also considered that the Operational Directives </w:t>
      </w:r>
      <w:r w:rsidR="003C2D3D">
        <w:t>for the implementation of the 2003 Convention</w:t>
      </w:r>
      <w:r w:rsidR="00F41F56">
        <w:t>, which already deal with the transfer and removal of elements,</w:t>
      </w:r>
      <w:r w:rsidR="003C2D3D">
        <w:t xml:space="preserve"> </w:t>
      </w:r>
      <w:r w:rsidR="00284EFE">
        <w:t>need to be revised</w:t>
      </w:r>
      <w:r w:rsidR="003C2D3D">
        <w:t>.</w:t>
      </w:r>
    </w:p>
    <w:p w:rsidR="005327F7" w:rsidRPr="00B1584B" w:rsidRDefault="00E37AF9" w:rsidP="00B1584B">
      <w:pPr>
        <w:pStyle w:val="COMPara"/>
        <w:numPr>
          <w:ilvl w:val="0"/>
          <w:numId w:val="0"/>
        </w:numPr>
        <w:ind w:left="567"/>
        <w:rPr>
          <w:b/>
        </w:rPr>
      </w:pPr>
      <w:r w:rsidRPr="00B1584B">
        <w:rPr>
          <w:b/>
        </w:rPr>
        <w:t xml:space="preserve">Provisions </w:t>
      </w:r>
      <w:r w:rsidR="00F41F56">
        <w:rPr>
          <w:b/>
        </w:rPr>
        <w:t>in s</w:t>
      </w:r>
      <w:r w:rsidR="00F41F56" w:rsidRPr="00B1584B">
        <w:rPr>
          <w:b/>
        </w:rPr>
        <w:t>ubchapter I.11</w:t>
      </w:r>
      <w:r w:rsidR="00F41F56">
        <w:rPr>
          <w:b/>
        </w:rPr>
        <w:t xml:space="preserve"> of</w:t>
      </w:r>
      <w:r w:rsidRPr="00B1584B">
        <w:rPr>
          <w:b/>
        </w:rPr>
        <w:t xml:space="preserve"> the current Operational Directives</w:t>
      </w:r>
    </w:p>
    <w:p w:rsidR="005327F7" w:rsidRPr="00B22CC1" w:rsidRDefault="005327F7" w:rsidP="00AF2597">
      <w:pPr>
        <w:pStyle w:val="COMPara"/>
        <w:spacing w:before="0"/>
        <w:ind w:left="567" w:hanging="567"/>
      </w:pPr>
      <w:r w:rsidRPr="00B22CC1">
        <w:t>Paragraph 38 of the Operational Directives</w:t>
      </w:r>
      <w:r w:rsidR="00033EB4">
        <w:t xml:space="preserve">, which concerns </w:t>
      </w:r>
      <w:r w:rsidR="00033EB4" w:rsidRPr="00B1584B">
        <w:rPr>
          <w:b/>
        </w:rPr>
        <w:t>transfer</w:t>
      </w:r>
      <w:r w:rsidR="00033EB4">
        <w:t>,</w:t>
      </w:r>
      <w:r w:rsidRPr="00B22CC1">
        <w:t xml:space="preserve"> establishes that an element may not simultaneously be inscribed on the </w:t>
      </w:r>
      <w:r w:rsidR="008501D5">
        <w:t xml:space="preserve">Urgent Safeguarding </w:t>
      </w:r>
      <w:r w:rsidRPr="00B22CC1">
        <w:t>List</w:t>
      </w:r>
      <w:r w:rsidR="008501D5">
        <w:t xml:space="preserve"> </w:t>
      </w:r>
      <w:r w:rsidRPr="00B22CC1">
        <w:t>and the Representative List. It further prescribes that a</w:t>
      </w:r>
      <w:r w:rsidR="008501D5">
        <w:t xml:space="preserve"> ‘</w:t>
      </w:r>
      <w:r w:rsidRPr="00B22CC1">
        <w:t>State Party may request that an element be transferred from one List to the other</w:t>
      </w:r>
      <w:r w:rsidR="008501D5">
        <w:t>’</w:t>
      </w:r>
      <w:r w:rsidRPr="00B22CC1">
        <w:t xml:space="preserve"> and that </w:t>
      </w:r>
      <w:r w:rsidR="008501D5">
        <w:t>‘</w:t>
      </w:r>
      <w:r w:rsidRPr="00B22CC1">
        <w:t>such a request must demonstrate that the element satisfies all of the criteria for the List to which transfer is requested</w:t>
      </w:r>
      <w:r w:rsidR="008501D5">
        <w:t>’</w:t>
      </w:r>
      <w:r w:rsidRPr="00B22CC1">
        <w:t>. Finally</w:t>
      </w:r>
      <w:r w:rsidR="00CD5750">
        <w:t>,</w:t>
      </w:r>
      <w:r w:rsidRPr="00B22CC1">
        <w:t xml:space="preserve"> it is </w:t>
      </w:r>
      <w:r w:rsidR="00FA567E">
        <w:t>foreseen</w:t>
      </w:r>
      <w:r w:rsidRPr="00B22CC1">
        <w:t xml:space="preserve"> that </w:t>
      </w:r>
      <w:r w:rsidR="008501D5">
        <w:t>‘</w:t>
      </w:r>
      <w:r w:rsidRPr="00B22CC1">
        <w:t>this request</w:t>
      </w:r>
      <w:r w:rsidR="008501D5">
        <w:t xml:space="preserve"> shall</w:t>
      </w:r>
      <w:r w:rsidRPr="00B22CC1">
        <w:t xml:space="preserve"> </w:t>
      </w:r>
      <w:r>
        <w:t>be</w:t>
      </w:r>
      <w:r w:rsidRPr="00B22CC1">
        <w:t xml:space="preserve"> submitted according to the established procedures and deadlines for nominations</w:t>
      </w:r>
      <w:r w:rsidR="008501D5">
        <w:t>’</w:t>
      </w:r>
      <w:r w:rsidRPr="00B22CC1">
        <w:t>.</w:t>
      </w:r>
    </w:p>
    <w:p w:rsidR="005327F7" w:rsidRDefault="005327F7" w:rsidP="00AF2597">
      <w:pPr>
        <w:pStyle w:val="COMPara"/>
        <w:spacing w:before="0"/>
        <w:ind w:left="567" w:hanging="567"/>
      </w:pPr>
      <w:r w:rsidRPr="00B22CC1">
        <w:t xml:space="preserve">Concerning the </w:t>
      </w:r>
      <w:r w:rsidRPr="00B1584B">
        <w:rPr>
          <w:b/>
        </w:rPr>
        <w:t>removal</w:t>
      </w:r>
      <w:r w:rsidRPr="00B22CC1">
        <w:t xml:space="preserve"> of an element from a </w:t>
      </w:r>
      <w:r w:rsidR="00FA567E">
        <w:t>L</w:t>
      </w:r>
      <w:r w:rsidRPr="00B22CC1">
        <w:t>ist, two paragraphs are included in the Operational Directives</w:t>
      </w:r>
      <w:r w:rsidR="00F41F56">
        <w:t>:</w:t>
      </w:r>
      <w:r w:rsidRPr="00B22CC1">
        <w:t xml:space="preserve"> paragraph 39 </w:t>
      </w:r>
      <w:r w:rsidR="008D33F6">
        <w:rPr>
          <w:rFonts w:eastAsia="Malgun Gothic" w:hint="eastAsia"/>
          <w:lang w:eastAsia="ko-KR"/>
        </w:rPr>
        <w:t>states</w:t>
      </w:r>
      <w:r w:rsidR="008D33F6" w:rsidRPr="00B22CC1">
        <w:t xml:space="preserve"> </w:t>
      </w:r>
      <w:r w:rsidRPr="00B22CC1">
        <w:t xml:space="preserve">that </w:t>
      </w:r>
      <w:r w:rsidR="002114D1">
        <w:t>‘</w:t>
      </w:r>
      <w:r w:rsidRPr="00B22CC1">
        <w:t xml:space="preserve">an element shall be removed from the </w:t>
      </w:r>
      <w:r w:rsidR="002114D1">
        <w:t>[</w:t>
      </w:r>
      <w:r w:rsidR="00710B9A">
        <w:t>Urgent Safeguarding List</w:t>
      </w:r>
      <w:r w:rsidR="002114D1">
        <w:t>]</w:t>
      </w:r>
      <w:r w:rsidR="00710B9A">
        <w:t xml:space="preserve"> </w:t>
      </w:r>
      <w:r w:rsidRPr="00B22CC1">
        <w:t xml:space="preserve">when the </w:t>
      </w:r>
      <w:r w:rsidR="00033EB4">
        <w:t xml:space="preserve">Committee </w:t>
      </w:r>
      <w:r w:rsidRPr="00B22CC1">
        <w:t>determines, after assessment of the implementation of the safeguarding plan, that the element no longer satisfies one or more criteria for inscription on that list</w:t>
      </w:r>
      <w:r w:rsidR="002114D1">
        <w:t>’</w:t>
      </w:r>
      <w:r w:rsidR="00F41F56">
        <w:t>;</w:t>
      </w:r>
      <w:r w:rsidRPr="00B22CC1">
        <w:t xml:space="preserve"> paragraph 40 </w:t>
      </w:r>
      <w:r w:rsidR="00FA567E">
        <w:t>foresees</w:t>
      </w:r>
      <w:r w:rsidRPr="00B22CC1">
        <w:t xml:space="preserve"> that </w:t>
      </w:r>
      <w:r w:rsidR="002114D1">
        <w:t>‘</w:t>
      </w:r>
      <w:r w:rsidRPr="00B22CC1">
        <w:t xml:space="preserve">an element shall be removed from the </w:t>
      </w:r>
      <w:r w:rsidR="002114D1">
        <w:t>[</w:t>
      </w:r>
      <w:r w:rsidRPr="00B22CC1">
        <w:t>Representative List</w:t>
      </w:r>
      <w:r w:rsidR="002114D1">
        <w:t>]</w:t>
      </w:r>
      <w:r w:rsidRPr="00B22CC1">
        <w:t xml:space="preserve"> by the Committee when it determines that it no longer satisfies one or more criteria for inscription on that </w:t>
      </w:r>
      <w:r w:rsidR="001857AB" w:rsidRPr="00302B58">
        <w:t>li</w:t>
      </w:r>
      <w:r w:rsidR="003201CA" w:rsidRPr="00302B58">
        <w:t>st’</w:t>
      </w:r>
      <w:r w:rsidRPr="00B22CC1">
        <w:t>.</w:t>
      </w:r>
    </w:p>
    <w:p w:rsidR="00813DC9" w:rsidRPr="00B1584B" w:rsidRDefault="00813DC9" w:rsidP="00B1584B">
      <w:pPr>
        <w:pStyle w:val="COMPara"/>
        <w:numPr>
          <w:ilvl w:val="0"/>
          <w:numId w:val="0"/>
        </w:numPr>
        <w:ind w:left="567"/>
        <w:rPr>
          <w:b/>
        </w:rPr>
      </w:pPr>
      <w:r w:rsidRPr="00B1584B">
        <w:rPr>
          <w:b/>
        </w:rPr>
        <w:t>Transfer and removal: interlinked or separate procedures?</w:t>
      </w:r>
    </w:p>
    <w:p w:rsidR="00D7398E" w:rsidRPr="00B1584B" w:rsidRDefault="00BE7842" w:rsidP="00AF2597">
      <w:pPr>
        <w:pStyle w:val="COMPara"/>
        <w:spacing w:before="0"/>
        <w:ind w:left="567" w:hanging="567"/>
      </w:pPr>
      <w:r w:rsidRPr="00B1584B">
        <w:t xml:space="preserve">One of the main </w:t>
      </w:r>
      <w:r w:rsidR="00C0584B">
        <w:t>issues</w:t>
      </w:r>
      <w:r w:rsidR="00E00A39">
        <w:t xml:space="preserve"> to be reflected upon</w:t>
      </w:r>
      <w:r w:rsidRPr="00B1584B">
        <w:t xml:space="preserve"> is the </w:t>
      </w:r>
      <w:r w:rsidR="00E00A39">
        <w:t>rel</w:t>
      </w:r>
      <w:r w:rsidRPr="00B1584B">
        <w:t xml:space="preserve">ationship between transfer and removal. There seem to be two </w:t>
      </w:r>
      <w:r w:rsidR="00E00A39">
        <w:t>options</w:t>
      </w:r>
      <w:r w:rsidR="00CD5750">
        <w:t>:</w:t>
      </w:r>
      <w:r w:rsidRPr="00B1584B">
        <w:t xml:space="preserve"> either a removal is </w:t>
      </w:r>
      <w:r w:rsidR="00E00A39">
        <w:t xml:space="preserve">required </w:t>
      </w:r>
      <w:r w:rsidRPr="00B1584B">
        <w:t xml:space="preserve">before a transfer can take place, or a transfer </w:t>
      </w:r>
      <w:r w:rsidR="00E00A39">
        <w:t xml:space="preserve">has its own, </w:t>
      </w:r>
      <w:r w:rsidR="00B30487">
        <w:t>separate procedure</w:t>
      </w:r>
      <w:r w:rsidR="00D5662B" w:rsidRPr="007B1EBA">
        <w:t>.</w:t>
      </w:r>
    </w:p>
    <w:p w:rsidR="00280552" w:rsidRDefault="00280552" w:rsidP="00AF2597">
      <w:pPr>
        <w:pStyle w:val="COMPara"/>
        <w:spacing w:before="0"/>
        <w:ind w:left="567" w:hanging="567"/>
      </w:pPr>
      <w:r>
        <w:t xml:space="preserve">In its </w:t>
      </w:r>
      <w:hyperlink r:id="rId9" w:history="1">
        <w:r w:rsidRPr="008220FD">
          <w:rPr>
            <w:rStyle w:val="Hyperlink"/>
          </w:rPr>
          <w:t>Decision 10.COM 19</w:t>
        </w:r>
      </w:hyperlink>
      <w:r>
        <w:t>, the Committee decided</w:t>
      </w:r>
      <w:r w:rsidRPr="00280552">
        <w:t>,</w:t>
      </w:r>
      <w:r>
        <w:t xml:space="preserve"> on an exceptional basis, that if Viet Nam were to submit</w:t>
      </w:r>
      <w:r w:rsidR="00CD5750">
        <w:t>,</w:t>
      </w:r>
      <w:r>
        <w:t xml:space="preserve"> by the deadline of 31 March 2016</w:t>
      </w:r>
      <w:r w:rsidR="00CD5750">
        <w:t>,</w:t>
      </w:r>
      <w:r>
        <w:t xml:space="preserve"> both </w:t>
      </w:r>
      <w:r w:rsidR="0064352D">
        <w:t xml:space="preserve">a </w:t>
      </w:r>
      <w:r>
        <w:t>report on the status of the inscribed element ‘Xoan singing of Phú Thọ Province, Viet Nam’</w:t>
      </w:r>
      <w:r w:rsidR="0064352D">
        <w:t xml:space="preserve">, which was inscribed on the Urgent Safeguarding List in </w:t>
      </w:r>
      <w:r w:rsidR="008537E4">
        <w:t>2011,</w:t>
      </w:r>
      <w:r>
        <w:t xml:space="preserve"> and a new nomination </w:t>
      </w:r>
      <w:r w:rsidR="008537E4">
        <w:t xml:space="preserve">for </w:t>
      </w:r>
      <w:r>
        <w:t xml:space="preserve">the same element </w:t>
      </w:r>
      <w:r w:rsidR="00FA567E">
        <w:t xml:space="preserve">to </w:t>
      </w:r>
      <w:r>
        <w:t xml:space="preserve">the Representative List, it would </w:t>
      </w:r>
      <w:r w:rsidR="00317F72">
        <w:t>examine</w:t>
      </w:r>
      <w:r>
        <w:t xml:space="preserve"> them concurrently at its twelfth session in 2017 </w:t>
      </w:r>
      <w:r w:rsidR="008537E4">
        <w:t xml:space="preserve">and then </w:t>
      </w:r>
      <w:r>
        <w:t xml:space="preserve">take a decision on the requested transfer. </w:t>
      </w:r>
      <w:r w:rsidRPr="00280552">
        <w:t xml:space="preserve">The Committee </w:t>
      </w:r>
      <w:r w:rsidR="008537E4">
        <w:t xml:space="preserve">also </w:t>
      </w:r>
      <w:r w:rsidRPr="00280552">
        <w:t xml:space="preserve">decided </w:t>
      </w:r>
      <w:r>
        <w:t xml:space="preserve">that </w:t>
      </w:r>
      <w:r w:rsidR="00CD5750">
        <w:t xml:space="preserve">an </w:t>
      </w:r>
      <w:r>
        <w:t xml:space="preserve">examination of the nomination to the Representative List in the 2017 cycle would only take place should it first decide, after </w:t>
      </w:r>
      <w:r w:rsidR="00652B4E">
        <w:t>examining</w:t>
      </w:r>
      <w:r>
        <w:t xml:space="preserve"> the report, on the removal of the element from the </w:t>
      </w:r>
      <w:r w:rsidR="00317F72">
        <w:t xml:space="preserve">Urgent Safeguarding </w:t>
      </w:r>
      <w:r>
        <w:t>List</w:t>
      </w:r>
      <w:r w:rsidR="00F24003">
        <w:t>.</w:t>
      </w:r>
      <w:r>
        <w:t xml:space="preserve"> </w:t>
      </w:r>
      <w:r w:rsidR="00F24003">
        <w:t>I</w:t>
      </w:r>
      <w:r>
        <w:t xml:space="preserve">n so </w:t>
      </w:r>
      <w:r w:rsidR="00F24003">
        <w:t>doing</w:t>
      </w:r>
      <w:r w:rsidR="00CD5750">
        <w:t>,</w:t>
      </w:r>
      <w:r w:rsidR="00F24003">
        <w:t xml:space="preserve"> the Committee </w:t>
      </w:r>
      <w:r w:rsidR="00317F72">
        <w:t>considered</w:t>
      </w:r>
      <w:r w:rsidR="008537E4">
        <w:t>, in the absence of established procedures</w:t>
      </w:r>
      <w:r w:rsidR="00317F72">
        <w:t xml:space="preserve"> that</w:t>
      </w:r>
      <w:r w:rsidR="001E5E44">
        <w:t xml:space="preserve"> </w:t>
      </w:r>
      <w:r w:rsidR="008537E4">
        <w:t>this</w:t>
      </w:r>
      <w:r w:rsidR="001E5E44">
        <w:t xml:space="preserve"> </w:t>
      </w:r>
      <w:r>
        <w:t xml:space="preserve">transfer </w:t>
      </w:r>
      <w:r w:rsidR="008537E4">
        <w:t>could not</w:t>
      </w:r>
      <w:r>
        <w:t xml:space="preserve"> happen without </w:t>
      </w:r>
      <w:r w:rsidR="00CD5750">
        <w:t xml:space="preserve">the </w:t>
      </w:r>
      <w:r>
        <w:t xml:space="preserve">prior removal </w:t>
      </w:r>
      <w:r w:rsidR="004E680E">
        <w:t xml:space="preserve">of the element </w:t>
      </w:r>
      <w:r>
        <w:t>from the other list</w:t>
      </w:r>
      <w:r w:rsidR="008537E4">
        <w:t xml:space="preserve">. </w:t>
      </w:r>
      <w:r w:rsidR="00565A11">
        <w:t>It is also possible</w:t>
      </w:r>
      <w:r w:rsidR="003C56DC">
        <w:t xml:space="preserve"> that the Committee, having removed the element from one list, will not want to inscribe it on the other List </w:t>
      </w:r>
      <w:r w:rsidR="00565A11">
        <w:t xml:space="preserve">if </w:t>
      </w:r>
      <w:r w:rsidR="003C56DC">
        <w:t xml:space="preserve">all </w:t>
      </w:r>
      <w:r w:rsidR="00565A11">
        <w:t xml:space="preserve">the </w:t>
      </w:r>
      <w:r w:rsidR="003C56DC">
        <w:t xml:space="preserve">criteria for that List are </w:t>
      </w:r>
      <w:r w:rsidR="00565A11">
        <w:t xml:space="preserve">not </w:t>
      </w:r>
      <w:r w:rsidR="003C56DC">
        <w:t>fulfilled. In such eventuality, the element concerned would no longer figure on either List.</w:t>
      </w:r>
    </w:p>
    <w:p w:rsidR="00590306" w:rsidRDefault="005749EC" w:rsidP="00AF2597">
      <w:pPr>
        <w:pStyle w:val="COMPara"/>
        <w:spacing w:before="0"/>
        <w:ind w:left="567" w:hanging="567"/>
      </w:pPr>
      <w:r>
        <w:t>S</w:t>
      </w:r>
      <w:r w:rsidR="00590306">
        <w:t xml:space="preserve">ubchapter I.11 of the Operational Directives could </w:t>
      </w:r>
      <w:r w:rsidR="00981C3B">
        <w:t xml:space="preserve">be interpreted differently, with </w:t>
      </w:r>
      <w:r>
        <w:t xml:space="preserve">the </w:t>
      </w:r>
      <w:r w:rsidR="00590306">
        <w:t xml:space="preserve">two processes </w:t>
      </w:r>
      <w:r>
        <w:t xml:space="preserve">of transfer and removal </w:t>
      </w:r>
      <w:r w:rsidR="00981C3B">
        <w:t>being considered as not necessarily linked</w:t>
      </w:r>
      <w:r>
        <w:t xml:space="preserve">. Following this approach, paragraph 38 </w:t>
      </w:r>
      <w:r w:rsidR="00981C3B">
        <w:t>might then</w:t>
      </w:r>
      <w:r w:rsidR="00033203">
        <w:t xml:space="preserve"> be applied on its own</w:t>
      </w:r>
      <w:r w:rsidR="00981C3B">
        <w:t>:</w:t>
      </w:r>
      <w:r w:rsidR="00367A78">
        <w:t xml:space="preserve"> </w:t>
      </w:r>
      <w:r>
        <w:t xml:space="preserve">transfer </w:t>
      </w:r>
      <w:r w:rsidR="00297EDB">
        <w:t>could</w:t>
      </w:r>
      <w:r w:rsidR="001605FC">
        <w:t xml:space="preserve"> </w:t>
      </w:r>
      <w:r w:rsidR="00033203">
        <w:t xml:space="preserve">take </w:t>
      </w:r>
      <w:r w:rsidR="001E0808">
        <w:t>place</w:t>
      </w:r>
      <w:r w:rsidR="006D6E97">
        <w:t xml:space="preserve"> after </w:t>
      </w:r>
      <w:r w:rsidR="00CD5750">
        <w:t xml:space="preserve">the Committee has examined </w:t>
      </w:r>
      <w:r>
        <w:t xml:space="preserve">a nomination of an already </w:t>
      </w:r>
      <w:r w:rsidR="006D6E97">
        <w:t>listed</w:t>
      </w:r>
      <w:r>
        <w:t xml:space="preserve"> element to the </w:t>
      </w:r>
      <w:r w:rsidR="006D6E97">
        <w:t xml:space="preserve">‘other List’. If that nomination is </w:t>
      </w:r>
      <w:r w:rsidR="00033203">
        <w:t>considered as satisfying</w:t>
      </w:r>
      <w:r>
        <w:t xml:space="preserve"> all of the criteria of the </w:t>
      </w:r>
      <w:r w:rsidR="006D6E97">
        <w:t xml:space="preserve">other </w:t>
      </w:r>
      <w:r>
        <w:t xml:space="preserve">List, </w:t>
      </w:r>
      <w:r w:rsidR="00033203">
        <w:t xml:space="preserve">the Committee </w:t>
      </w:r>
      <w:r>
        <w:t xml:space="preserve">can decide to transfer </w:t>
      </w:r>
      <w:r w:rsidR="00033203">
        <w:t xml:space="preserve">the element </w:t>
      </w:r>
      <w:r>
        <w:t xml:space="preserve">from </w:t>
      </w:r>
      <w:r w:rsidR="006D6E97">
        <w:t xml:space="preserve">the original to the other </w:t>
      </w:r>
      <w:r>
        <w:t xml:space="preserve">List without the need </w:t>
      </w:r>
      <w:r w:rsidR="00CD5750">
        <w:t xml:space="preserve">for </w:t>
      </w:r>
      <w:r w:rsidR="006F4750">
        <w:t xml:space="preserve">the </w:t>
      </w:r>
      <w:r>
        <w:t>prior removal of the element</w:t>
      </w:r>
      <w:r w:rsidR="00DE5295">
        <w:t xml:space="preserve"> from the </w:t>
      </w:r>
      <w:r w:rsidR="006D6E97">
        <w:t xml:space="preserve">original </w:t>
      </w:r>
      <w:r w:rsidR="003201CA">
        <w:t>L</w:t>
      </w:r>
      <w:r w:rsidR="00DE5295">
        <w:t>ist</w:t>
      </w:r>
      <w:r>
        <w:t>.</w:t>
      </w:r>
      <w:r w:rsidR="00DE5295">
        <w:t xml:space="preserve"> The transfer </w:t>
      </w:r>
      <w:r w:rsidR="00E964B3">
        <w:t>would</w:t>
      </w:r>
      <w:r w:rsidR="00DE5295">
        <w:t xml:space="preserve"> implicitly include the removal of the element from the </w:t>
      </w:r>
      <w:r w:rsidR="006D6E97">
        <w:t>original</w:t>
      </w:r>
      <w:r w:rsidR="00DE5295">
        <w:t xml:space="preserve"> </w:t>
      </w:r>
      <w:r w:rsidR="003201CA">
        <w:t xml:space="preserve">List </w:t>
      </w:r>
      <w:r w:rsidR="00DE5295">
        <w:t xml:space="preserve">by virtue of the first sentence of paragraph 38, </w:t>
      </w:r>
      <w:r w:rsidR="006D6E97">
        <w:lastRenderedPageBreak/>
        <w:t xml:space="preserve">which states </w:t>
      </w:r>
      <w:r w:rsidR="00DE5295">
        <w:t xml:space="preserve">that an element may not simultaneously be inscribed on both </w:t>
      </w:r>
      <w:r w:rsidR="003201CA">
        <w:t>Lists</w:t>
      </w:r>
      <w:r w:rsidR="00DE5295">
        <w:t>.</w:t>
      </w:r>
      <w:r w:rsidR="001E0808">
        <w:t xml:space="preserve"> </w:t>
      </w:r>
      <w:r w:rsidR="006D6E97">
        <w:t>Such a procedure would a</w:t>
      </w:r>
      <w:r w:rsidR="00585018">
        <w:t>p</w:t>
      </w:r>
      <w:r w:rsidR="006D6E97">
        <w:t>ply for transfer</w:t>
      </w:r>
      <w:r w:rsidR="006F4750">
        <w:t>s</w:t>
      </w:r>
      <w:r w:rsidR="006D6E97">
        <w:t xml:space="preserve"> in either direction.</w:t>
      </w:r>
    </w:p>
    <w:p w:rsidR="007955CD" w:rsidRDefault="001F2D4C" w:rsidP="00AF2597">
      <w:pPr>
        <w:pStyle w:val="COMPara"/>
        <w:spacing w:before="0"/>
        <w:ind w:left="567" w:hanging="567"/>
      </w:pPr>
      <w:r>
        <w:t>In the same vein</w:t>
      </w:r>
      <w:r w:rsidR="00DE5295">
        <w:t xml:space="preserve">, paragraphs 39 (removal from the Urgent Safeguarding List) and 40 (removal from the Representative List) </w:t>
      </w:r>
      <w:r w:rsidR="006D6E97">
        <w:t xml:space="preserve">would then </w:t>
      </w:r>
      <w:r>
        <w:t xml:space="preserve">also </w:t>
      </w:r>
      <w:r w:rsidR="00DE5295">
        <w:t xml:space="preserve">be stand-alone procedures. In </w:t>
      </w:r>
      <w:r w:rsidR="006D6E97">
        <w:t>both</w:t>
      </w:r>
      <w:r w:rsidR="00DE5295">
        <w:t xml:space="preserve"> cases, </w:t>
      </w:r>
      <w:r w:rsidR="00295F9F">
        <w:t>it is up to the Committee to determine whether an element no longer satisfies one or more crit</w:t>
      </w:r>
      <w:r w:rsidR="004B452E">
        <w:t xml:space="preserve">eria for inscription </w:t>
      </w:r>
      <w:r w:rsidR="00DA06A4">
        <w:t xml:space="preserve">and eventually remove it from the </w:t>
      </w:r>
      <w:r w:rsidR="006D6E97">
        <w:t>L</w:t>
      </w:r>
      <w:r w:rsidR="00DA06A4">
        <w:t>ist</w:t>
      </w:r>
      <w:r w:rsidR="00295F9F">
        <w:t xml:space="preserve">. </w:t>
      </w:r>
      <w:r w:rsidR="006D6E97">
        <w:t>P</w:t>
      </w:r>
      <w:r w:rsidR="00295F9F">
        <w:t xml:space="preserve">aragraph 39 </w:t>
      </w:r>
      <w:r w:rsidR="006D6E97">
        <w:t xml:space="preserve">specifies that </w:t>
      </w:r>
      <w:r w:rsidR="00295F9F">
        <w:t xml:space="preserve">removal </w:t>
      </w:r>
      <w:r w:rsidR="006D6E97">
        <w:t xml:space="preserve">from the Urgent Safeguarding List </w:t>
      </w:r>
      <w:r w:rsidR="00295F9F">
        <w:t xml:space="preserve">is possible only ‘after assessment of the implementation of the safeguarding plan’. </w:t>
      </w:r>
      <w:r w:rsidR="00367A78">
        <w:t>Paragraph 40 does not ind</w:t>
      </w:r>
      <w:r w:rsidR="006D6E97">
        <w:t xml:space="preserve">icate </w:t>
      </w:r>
      <w:r w:rsidR="006F4750">
        <w:t xml:space="preserve">any </w:t>
      </w:r>
      <w:r w:rsidR="006D6E97">
        <w:t>specific conditions for removal from the Representative List.</w:t>
      </w:r>
    </w:p>
    <w:p w:rsidR="00CB2A1A" w:rsidRDefault="00A57CC9" w:rsidP="00AF2597">
      <w:pPr>
        <w:pStyle w:val="COMPara"/>
        <w:spacing w:before="0"/>
        <w:ind w:left="567" w:hanging="567"/>
      </w:pPr>
      <w:r w:rsidRPr="00B1584B">
        <w:t xml:space="preserve">In </w:t>
      </w:r>
      <w:r w:rsidR="00CB2A1A">
        <w:t xml:space="preserve">previous versions of the Operational Directives, the paragraphs on transfer and removal have been presented in different ways. </w:t>
      </w:r>
      <w:r w:rsidR="001166D5">
        <w:t>In t</w:t>
      </w:r>
      <w:r w:rsidRPr="00B1584B">
        <w:t>he 200</w:t>
      </w:r>
      <w:r w:rsidR="00DC5D22">
        <w:t>8</w:t>
      </w:r>
      <w:r w:rsidRPr="00B1584B">
        <w:t xml:space="preserve"> version,</w:t>
      </w:r>
      <w:r w:rsidR="00CB2A1A">
        <w:t xml:space="preserve"> the procedure</w:t>
      </w:r>
      <w:r w:rsidR="001166D5">
        <w:t>s</w:t>
      </w:r>
      <w:r w:rsidR="00CB2A1A">
        <w:t xml:space="preserve"> for </w:t>
      </w:r>
      <w:r w:rsidR="006F4750">
        <w:t xml:space="preserve">both </w:t>
      </w:r>
      <w:r w:rsidR="00CB2A1A">
        <w:t>removal and transfer are cove</w:t>
      </w:r>
      <w:r w:rsidR="009E2418">
        <w:t>red twice</w:t>
      </w:r>
      <w:r w:rsidR="006F4750">
        <w:t xml:space="preserve">: </w:t>
      </w:r>
      <w:r w:rsidR="009E2418">
        <w:t>once in sub-chapter 1</w:t>
      </w:r>
      <w:r w:rsidR="00CB2A1A">
        <w:t>.1</w:t>
      </w:r>
      <w:r w:rsidR="00652B4E">
        <w:t>,</w:t>
      </w:r>
      <w:r w:rsidR="00CB2A1A">
        <w:t xml:space="preserve"> concerning the Urgent Safeguarding List</w:t>
      </w:r>
      <w:r w:rsidR="00652B4E">
        <w:t>,</w:t>
      </w:r>
      <w:r w:rsidRPr="00B1584B">
        <w:t xml:space="preserve"> </w:t>
      </w:r>
      <w:r w:rsidR="009E2418">
        <w:t>and once in sub-chapter</w:t>
      </w:r>
      <w:r w:rsidR="00652B4E">
        <w:t>,</w:t>
      </w:r>
      <w:r w:rsidR="009E2418">
        <w:t xml:space="preserve"> 1</w:t>
      </w:r>
      <w:r w:rsidR="00CB2A1A">
        <w:t xml:space="preserve">.2 concerning the Representative List. Removal and transfer seem to be understood as autonomous processes. In the 2010 and 2012 versions of the Operational Directives, transfer and removal are only presented once: sub-chapter I.10 </w:t>
      </w:r>
      <w:r w:rsidR="006F4750">
        <w:t xml:space="preserve">consists </w:t>
      </w:r>
      <w:r w:rsidR="00DC437F">
        <w:t>of one paragraph that deal</w:t>
      </w:r>
      <w:r w:rsidR="00CB2A1A">
        <w:t>s with transfer</w:t>
      </w:r>
      <w:r w:rsidR="006F4750">
        <w:t>s</w:t>
      </w:r>
      <w:r w:rsidR="00CB2A1A">
        <w:t>, followed by sub-chapter I.11</w:t>
      </w:r>
      <w:r w:rsidR="006F4750">
        <w:t>,</w:t>
      </w:r>
      <w:r w:rsidR="00CB2A1A">
        <w:t xml:space="preserve"> consisting of two paragraphs, one for removal from the Urgent Safeguarding List and one for removal from the Representative List. In these versions, too, removal </w:t>
      </w:r>
      <w:r w:rsidR="00082B77">
        <w:t>does not seem</w:t>
      </w:r>
      <w:r w:rsidR="00CB2A1A">
        <w:t xml:space="preserve"> </w:t>
      </w:r>
      <w:r w:rsidR="00082B77">
        <w:t xml:space="preserve">to be </w:t>
      </w:r>
      <w:r w:rsidR="00CB2A1A">
        <w:t xml:space="preserve">presented </w:t>
      </w:r>
      <w:r w:rsidR="001166D5">
        <w:t>as</w:t>
      </w:r>
      <w:r w:rsidR="00CB2A1A">
        <w:t xml:space="preserve"> </w:t>
      </w:r>
      <w:r w:rsidR="006F4750">
        <w:t xml:space="preserve">a </w:t>
      </w:r>
      <w:r w:rsidR="00CB2A1A">
        <w:t>precondition for transfer. In the 2014</w:t>
      </w:r>
      <w:r w:rsidR="001166D5">
        <w:t xml:space="preserve"> version</w:t>
      </w:r>
      <w:r w:rsidR="00CB2A1A">
        <w:t>, transfer and removal are presented for the first time in one sub-</w:t>
      </w:r>
      <w:r w:rsidR="00DC437F">
        <w:t>chapter</w:t>
      </w:r>
      <w:r w:rsidR="00CB2A1A">
        <w:t xml:space="preserve">, </w:t>
      </w:r>
      <w:r w:rsidR="006F4750">
        <w:t xml:space="preserve">the </w:t>
      </w:r>
      <w:r w:rsidR="00CB2A1A">
        <w:t xml:space="preserve">title </w:t>
      </w:r>
      <w:r w:rsidR="006F4750">
        <w:t xml:space="preserve">of which </w:t>
      </w:r>
      <w:r w:rsidR="00CB2A1A">
        <w:t xml:space="preserve">speaks about </w:t>
      </w:r>
      <w:r w:rsidR="001166D5">
        <w:t>‘</w:t>
      </w:r>
      <w:r w:rsidR="00CB2A1A">
        <w:t>transfer’ or ‘removal’, implying that these are understood as separate procedures.</w:t>
      </w:r>
    </w:p>
    <w:p w:rsidR="000D21FC" w:rsidRPr="00B1584B" w:rsidRDefault="000D21FC" w:rsidP="00B1584B">
      <w:pPr>
        <w:pStyle w:val="COMPara"/>
        <w:numPr>
          <w:ilvl w:val="0"/>
          <w:numId w:val="0"/>
        </w:numPr>
        <w:ind w:left="567"/>
        <w:rPr>
          <w:b/>
        </w:rPr>
      </w:pPr>
      <w:r w:rsidRPr="00B1584B">
        <w:rPr>
          <w:b/>
        </w:rPr>
        <w:t xml:space="preserve">Considerations in a larger </w:t>
      </w:r>
      <w:r>
        <w:rPr>
          <w:b/>
        </w:rPr>
        <w:t>context</w:t>
      </w:r>
    </w:p>
    <w:p w:rsidR="005F3337" w:rsidRPr="00B1584B" w:rsidRDefault="00DC437F" w:rsidP="00B1584B">
      <w:pPr>
        <w:pStyle w:val="COMPara"/>
        <w:spacing w:before="0"/>
        <w:ind w:left="567" w:hanging="567"/>
        <w:rPr>
          <w:b/>
        </w:rPr>
      </w:pPr>
      <w:r>
        <w:t>Apart from</w:t>
      </w:r>
      <w:r w:rsidR="000D21FC">
        <w:t xml:space="preserve"> the above-mentioned </w:t>
      </w:r>
      <w:r>
        <w:t>procedural issues</w:t>
      </w:r>
      <w:r w:rsidR="000D21FC">
        <w:t xml:space="preserve">, the Committee might </w:t>
      </w:r>
      <w:r w:rsidR="006F4750">
        <w:t xml:space="preserve">also </w:t>
      </w:r>
      <w:r w:rsidR="000D21FC">
        <w:t xml:space="preserve">wish to </w:t>
      </w:r>
      <w:r>
        <w:t xml:space="preserve">discuss some related questions, such as </w:t>
      </w:r>
      <w:r w:rsidR="000D21FC">
        <w:t xml:space="preserve">reporting related to the removal procedure, the role of States Parties, the ceiling for the number of nomination files to be treated in a given cycle </w:t>
      </w:r>
      <w:r w:rsidR="00C15EAB">
        <w:t>and the broad context of the 2003 Convention and its mechanisms</w:t>
      </w:r>
      <w:r w:rsidR="005F3337">
        <w:t>.</w:t>
      </w:r>
    </w:p>
    <w:p w:rsidR="00797D1B" w:rsidRDefault="007955CD" w:rsidP="00797D1B">
      <w:pPr>
        <w:pStyle w:val="COMPara"/>
        <w:spacing w:before="0"/>
        <w:ind w:left="567" w:hanging="567"/>
      </w:pPr>
      <w:r>
        <w:t>Periodic report</w:t>
      </w:r>
      <w:r w:rsidR="00BF6998">
        <w:t xml:space="preserve">ing </w:t>
      </w:r>
      <w:r w:rsidR="00296703">
        <w:t xml:space="preserve">seems to </w:t>
      </w:r>
      <w:r>
        <w:t>play an important role in the removal procedure</w:t>
      </w:r>
      <w:r w:rsidR="00A211AF">
        <w:t xml:space="preserve"> of an e</w:t>
      </w:r>
      <w:r w:rsidR="007F71CE">
        <w:t xml:space="preserve">lement from the Urgent Safeguarding List as described in paragraph </w:t>
      </w:r>
      <w:r w:rsidR="00D3764E">
        <w:t>39</w:t>
      </w:r>
      <w:r w:rsidR="007F71CE">
        <w:t xml:space="preserve"> of the Operational Directives</w:t>
      </w:r>
      <w:r w:rsidR="00A211AF">
        <w:t xml:space="preserve">. </w:t>
      </w:r>
      <w:r>
        <w:t xml:space="preserve">For elements inscribed on the </w:t>
      </w:r>
      <w:r w:rsidR="00E32312">
        <w:t>Urgent Safeguarding List</w:t>
      </w:r>
      <w:r>
        <w:t xml:space="preserve">, </w:t>
      </w:r>
      <w:r w:rsidR="00D3764E">
        <w:t xml:space="preserve">periodic </w:t>
      </w:r>
      <w:r>
        <w:t>reports are due every four years</w:t>
      </w:r>
      <w:r w:rsidR="00A211AF">
        <w:t>; these</w:t>
      </w:r>
      <w:r w:rsidR="00D3764E">
        <w:t xml:space="preserve"> include information</w:t>
      </w:r>
      <w:r>
        <w:t xml:space="preserve"> on the status of </w:t>
      </w:r>
      <w:r w:rsidR="00A211AF">
        <w:t xml:space="preserve">the </w:t>
      </w:r>
      <w:r>
        <w:t>element</w:t>
      </w:r>
      <w:r w:rsidR="00A211AF">
        <w:t xml:space="preserve"> concerned</w:t>
      </w:r>
      <w:r w:rsidR="00BF6998">
        <w:t>.</w:t>
      </w:r>
      <w:r w:rsidR="00D3764E" w:rsidRPr="00D3764E">
        <w:t xml:space="preserve"> </w:t>
      </w:r>
      <w:r w:rsidR="00D3764E">
        <w:t xml:space="preserve">The form to report on those elements (Form ICH-11) </w:t>
      </w:r>
      <w:r w:rsidR="00A211AF">
        <w:t xml:space="preserve">was </w:t>
      </w:r>
      <w:r w:rsidR="00D3764E">
        <w:t xml:space="preserve">revised recently </w:t>
      </w:r>
      <w:r w:rsidR="00A211AF">
        <w:t>so as</w:t>
      </w:r>
      <w:r w:rsidR="00D3764E">
        <w:t xml:space="preserve"> to include new sections for </w:t>
      </w:r>
      <w:r w:rsidR="00A211AF">
        <w:t>updating</w:t>
      </w:r>
      <w:r w:rsidR="00D3764E">
        <w:t xml:space="preserve"> the safeguarding plan proposed in the nomination file</w:t>
      </w:r>
      <w:r w:rsidR="00A211AF">
        <w:t>.</w:t>
      </w:r>
      <w:r w:rsidR="00D3764E">
        <w:t xml:space="preserve"> </w:t>
      </w:r>
      <w:r w:rsidR="00A211AF">
        <w:t>This</w:t>
      </w:r>
      <w:r w:rsidR="00D3764E">
        <w:t xml:space="preserve"> </w:t>
      </w:r>
      <w:r w:rsidR="00A211AF">
        <w:t>may</w:t>
      </w:r>
      <w:r w:rsidR="00D3764E">
        <w:t xml:space="preserve"> facilitate the </w:t>
      </w:r>
      <w:r w:rsidR="00A211AF">
        <w:t xml:space="preserve">work </w:t>
      </w:r>
      <w:r w:rsidR="00D3764E">
        <w:t xml:space="preserve">of the Committee </w:t>
      </w:r>
      <w:r w:rsidR="00A211AF">
        <w:t xml:space="preserve">when it </w:t>
      </w:r>
      <w:r w:rsidR="006F4750">
        <w:t>is considering whether or not to remove</w:t>
      </w:r>
      <w:r w:rsidR="00D3764E">
        <w:t xml:space="preserve"> an element </w:t>
      </w:r>
      <w:r w:rsidR="00A211AF">
        <w:t>from the Urgent Safeguarding List</w:t>
      </w:r>
      <w:r w:rsidR="00D3764E">
        <w:t>.</w:t>
      </w:r>
    </w:p>
    <w:p w:rsidR="004B452E" w:rsidRDefault="00077C25" w:rsidP="00797D1B">
      <w:pPr>
        <w:pStyle w:val="COMPara"/>
        <w:spacing w:before="0"/>
        <w:ind w:left="567" w:hanging="567"/>
      </w:pPr>
      <w:r>
        <w:t>F</w:t>
      </w:r>
      <w:r w:rsidR="00652460">
        <w:t xml:space="preserve">or the removal of </w:t>
      </w:r>
      <w:r w:rsidR="007955CD">
        <w:t>elements inscribed on the Representative List</w:t>
      </w:r>
      <w:r w:rsidR="00BF6998">
        <w:t>,</w:t>
      </w:r>
      <w:r w:rsidR="007955CD">
        <w:t xml:space="preserve"> </w:t>
      </w:r>
      <w:r w:rsidR="00652460">
        <w:t xml:space="preserve">paragraph 40 of the </w:t>
      </w:r>
      <w:r w:rsidR="00956BC5">
        <w:t>Operational</w:t>
      </w:r>
      <w:r w:rsidR="00652460">
        <w:t xml:space="preserve"> Directives does not </w:t>
      </w:r>
      <w:r>
        <w:t xml:space="preserve">prescribe </w:t>
      </w:r>
      <w:r w:rsidR="006F4750">
        <w:t xml:space="preserve">how </w:t>
      </w:r>
      <w:r>
        <w:t xml:space="preserve">the Committee </w:t>
      </w:r>
      <w:r w:rsidR="006F4750">
        <w:t>should</w:t>
      </w:r>
      <w:r>
        <w:t xml:space="preserve"> proceed</w:t>
      </w:r>
      <w:r w:rsidR="00652460">
        <w:t xml:space="preserve">. </w:t>
      </w:r>
      <w:r w:rsidR="00EC223B">
        <w:t xml:space="preserve">The question is how the Committee would determine that </w:t>
      </w:r>
      <w:r>
        <w:t>an</w:t>
      </w:r>
      <w:r w:rsidR="00EC223B">
        <w:t xml:space="preserve"> element no longer satisfies one or more </w:t>
      </w:r>
      <w:r w:rsidR="001E0808">
        <w:t>criteria</w:t>
      </w:r>
      <w:r w:rsidR="00EC223B">
        <w:t xml:space="preserve"> for inscription on the Representative List. The periodic reports may be a source of information in this regard. However, </w:t>
      </w:r>
      <w:r w:rsidR="00652460">
        <w:t xml:space="preserve">the </w:t>
      </w:r>
      <w:r w:rsidR="007955CD">
        <w:t xml:space="preserve">reports </w:t>
      </w:r>
      <w:r w:rsidR="00EC223B">
        <w:t xml:space="preserve">on the elements inscribed on the Representative List </w:t>
      </w:r>
      <w:r w:rsidR="007955CD">
        <w:t xml:space="preserve">are included in the national </w:t>
      </w:r>
      <w:r>
        <w:t xml:space="preserve">periodic </w:t>
      </w:r>
      <w:r w:rsidR="007955CD">
        <w:t>report</w:t>
      </w:r>
      <w:r>
        <w:t>s</w:t>
      </w:r>
      <w:r w:rsidR="007955CD">
        <w:t xml:space="preserve"> on the implementation of the 2003 Convention</w:t>
      </w:r>
      <w:r w:rsidR="00296703">
        <w:t xml:space="preserve"> at the national level</w:t>
      </w:r>
      <w:r w:rsidR="00000C1F">
        <w:t>,</w:t>
      </w:r>
      <w:r w:rsidR="007955CD">
        <w:t xml:space="preserve"> follow</w:t>
      </w:r>
      <w:r w:rsidR="008106C1">
        <w:t>ing</w:t>
      </w:r>
      <w:r w:rsidR="007955CD">
        <w:t xml:space="preserve"> </w:t>
      </w:r>
      <w:r>
        <w:t>a six-year</w:t>
      </w:r>
      <w:r w:rsidR="007955CD">
        <w:t xml:space="preserve"> periodicity based on the date of ratification </w:t>
      </w:r>
      <w:r>
        <w:t xml:space="preserve">by </w:t>
      </w:r>
      <w:r w:rsidR="007955CD">
        <w:t>the State</w:t>
      </w:r>
      <w:r w:rsidR="00000C1F">
        <w:t xml:space="preserve"> </w:t>
      </w:r>
      <w:r>
        <w:t>Party (or States Parties) concerned</w:t>
      </w:r>
      <w:r w:rsidR="007955CD">
        <w:t xml:space="preserve">. </w:t>
      </w:r>
      <w:r>
        <w:t>The different obligations</w:t>
      </w:r>
      <w:r w:rsidR="00EC223B">
        <w:t xml:space="preserve"> for periodic reporting concerning the two Lists</w:t>
      </w:r>
      <w:r w:rsidR="007F71CE">
        <w:t xml:space="preserve"> </w:t>
      </w:r>
      <w:r w:rsidR="007955CD">
        <w:t xml:space="preserve">might justify </w:t>
      </w:r>
      <w:r>
        <w:t xml:space="preserve">the </w:t>
      </w:r>
      <w:r w:rsidR="007955CD">
        <w:t>different procedure</w:t>
      </w:r>
      <w:r w:rsidR="00EC223B">
        <w:t>s</w:t>
      </w:r>
      <w:r w:rsidR="007955CD">
        <w:t xml:space="preserve"> that </w:t>
      </w:r>
      <w:r>
        <w:t xml:space="preserve">are </w:t>
      </w:r>
      <w:r w:rsidR="00DA06A4">
        <w:t>found in paragraphs 39</w:t>
      </w:r>
      <w:r w:rsidR="00EC223B">
        <w:t xml:space="preserve"> </w:t>
      </w:r>
      <w:r w:rsidR="00DA06A4">
        <w:t>and 40</w:t>
      </w:r>
      <w:r>
        <w:t xml:space="preserve">. </w:t>
      </w:r>
      <w:r w:rsidR="00000C1F">
        <w:t>Nevertheless</w:t>
      </w:r>
      <w:r w:rsidR="006F4750">
        <w:t>,</w:t>
      </w:r>
      <w:r w:rsidR="00CA7E96">
        <w:t xml:space="preserve"> the provision included in paragraph 39 </w:t>
      </w:r>
      <w:r w:rsidR="00C30033">
        <w:t xml:space="preserve">on the prior assessment of the implementation of the safeguarding plan </w:t>
      </w:r>
      <w:r w:rsidR="00CA7E96">
        <w:t xml:space="preserve">might also be </w:t>
      </w:r>
      <w:r>
        <w:t>taken into account in a different way, for instance</w:t>
      </w:r>
      <w:r w:rsidR="00CA7E96">
        <w:t xml:space="preserve"> through </w:t>
      </w:r>
      <w:r w:rsidR="006F4750">
        <w:t xml:space="preserve">a </w:t>
      </w:r>
      <w:r w:rsidR="00CA7E96" w:rsidRPr="00294B7C">
        <w:t>monitoring mission</w:t>
      </w:r>
      <w:r w:rsidR="00CA7E96">
        <w:t xml:space="preserve"> or a separate reporting exercise.</w:t>
      </w:r>
    </w:p>
    <w:p w:rsidR="008106C1" w:rsidRDefault="007B7D8E" w:rsidP="00AF2597">
      <w:pPr>
        <w:pStyle w:val="COMPara"/>
        <w:spacing w:before="0"/>
        <w:ind w:left="567" w:hanging="567"/>
      </w:pPr>
      <w:r>
        <w:t xml:space="preserve">Another consideration should be made as to how the </w:t>
      </w:r>
      <w:r w:rsidR="006F4750">
        <w:t xml:space="preserve">transfer and removal </w:t>
      </w:r>
      <w:r>
        <w:t>procedure may be initiated, as the</w:t>
      </w:r>
      <w:r w:rsidR="00CD6D23">
        <w:t xml:space="preserve"> current Operational Directives </w:t>
      </w:r>
      <w:r>
        <w:t>present asymmetrical situations</w:t>
      </w:r>
      <w:r w:rsidR="00CD6D23">
        <w:t xml:space="preserve">. Under paragraph 38, </w:t>
      </w:r>
      <w:r>
        <w:t xml:space="preserve">it is </w:t>
      </w:r>
      <w:r w:rsidR="00CD6D23">
        <w:t xml:space="preserve">a State Party </w:t>
      </w:r>
      <w:r>
        <w:t xml:space="preserve">that </w:t>
      </w:r>
      <w:r w:rsidR="00CD6D23">
        <w:t>may request that an element be transferred from one List to the other. In the case of removal</w:t>
      </w:r>
      <w:r w:rsidR="006F4750">
        <w:t>,</w:t>
      </w:r>
      <w:r w:rsidR="00CD6D23">
        <w:t xml:space="preserve"> it is the Committee that decides</w:t>
      </w:r>
      <w:r w:rsidR="006F4750">
        <w:t xml:space="preserve">, </w:t>
      </w:r>
      <w:r>
        <w:t>while</w:t>
      </w:r>
      <w:r w:rsidR="00CD6D23">
        <w:t xml:space="preserve"> paragraphs 39 and 40 are silent about the role of </w:t>
      </w:r>
      <w:r>
        <w:t>the</w:t>
      </w:r>
      <w:r w:rsidR="00CD6D23">
        <w:t xml:space="preserve"> State Party</w:t>
      </w:r>
      <w:r>
        <w:t xml:space="preserve"> </w:t>
      </w:r>
      <w:r w:rsidR="00AB6154">
        <w:t xml:space="preserve">or States Parties </w:t>
      </w:r>
      <w:r>
        <w:t>concerned</w:t>
      </w:r>
      <w:r w:rsidR="00CD6D23">
        <w:t xml:space="preserve">. </w:t>
      </w:r>
      <w:r w:rsidR="00AB6154">
        <w:t xml:space="preserve">If the </w:t>
      </w:r>
      <w:r w:rsidR="00AB6154">
        <w:lastRenderedPageBreak/>
        <w:t>Committee wish</w:t>
      </w:r>
      <w:r w:rsidR="008D33F6">
        <w:rPr>
          <w:rFonts w:eastAsia="Malgun Gothic" w:hint="eastAsia"/>
          <w:lang w:eastAsia="ko-KR"/>
        </w:rPr>
        <w:t>es to</w:t>
      </w:r>
      <w:r w:rsidR="00AB6154">
        <w:t xml:space="preserve"> bring in more clarity on this issue, it may </w:t>
      </w:r>
      <w:r>
        <w:t xml:space="preserve">take into account the provision given under </w:t>
      </w:r>
      <w:r w:rsidR="008106C1">
        <w:t>Paragraph 80 (e)</w:t>
      </w:r>
      <w:r w:rsidR="00CD6D23">
        <w:t xml:space="preserve"> of the Operational Directives</w:t>
      </w:r>
      <w:r w:rsidR="006F4750">
        <w:t>,</w:t>
      </w:r>
      <w:r w:rsidR="00CD6D23">
        <w:t xml:space="preserve"> which </w:t>
      </w:r>
      <w:r>
        <w:t xml:space="preserve">encourages the </w:t>
      </w:r>
      <w:r w:rsidR="00CD6D23">
        <w:t xml:space="preserve">States Parties </w:t>
      </w:r>
      <w:r>
        <w:t>‘</w:t>
      </w:r>
      <w:r w:rsidR="00CD6D23">
        <w:t xml:space="preserve">to create a consultative body or a </w:t>
      </w:r>
      <w:r w:rsidR="00BF66A3">
        <w:t>c</w:t>
      </w:r>
      <w:r w:rsidR="00CD6D23">
        <w:t xml:space="preserve">oordination mechanism to facilitate the participation of communities, groups and, where applicable, individuals, as well as experts, centre of expertise and research institutes, in particular in: […] </w:t>
      </w:r>
      <w:r w:rsidR="00BF66A3">
        <w:t>(</w:t>
      </w:r>
      <w:r w:rsidR="00CD6D23">
        <w:t xml:space="preserve">e) </w:t>
      </w:r>
      <w:r w:rsidR="00BF66A3">
        <w:t>the removal of an element of intangible cultural heritage from one List or its transfer to the other, as referred to in paragrap</w:t>
      </w:r>
      <w:r>
        <w:t>hs 38-</w:t>
      </w:r>
      <w:r w:rsidR="00BF66A3">
        <w:t>40 of the present Operational Directives’.</w:t>
      </w:r>
    </w:p>
    <w:p w:rsidR="00CA7E96" w:rsidRDefault="008B6B9F" w:rsidP="00AF2597">
      <w:pPr>
        <w:pStyle w:val="COMPara"/>
        <w:spacing w:before="0"/>
        <w:ind w:left="567" w:hanging="567"/>
      </w:pPr>
      <w:r>
        <w:t xml:space="preserve">The issue of </w:t>
      </w:r>
      <w:r w:rsidR="00AB6154">
        <w:t xml:space="preserve">the </w:t>
      </w:r>
      <w:r>
        <w:t xml:space="preserve">ceiling </w:t>
      </w:r>
      <w:r w:rsidR="00F0693B">
        <w:t xml:space="preserve">for the annual number of files that </w:t>
      </w:r>
      <w:r w:rsidR="008D33F6">
        <w:rPr>
          <w:rFonts w:eastAsia="Malgun Gothic" w:hint="eastAsia"/>
          <w:lang w:eastAsia="ko-KR"/>
        </w:rPr>
        <w:t>is</w:t>
      </w:r>
      <w:r w:rsidR="008D33F6">
        <w:t xml:space="preserve"> </w:t>
      </w:r>
      <w:r w:rsidR="00F0693B">
        <w:t xml:space="preserve">treated by the Committee </w:t>
      </w:r>
      <w:r>
        <w:t xml:space="preserve">also merits reflection. </w:t>
      </w:r>
      <w:r w:rsidR="00371F53">
        <w:t xml:space="preserve">As mentioned above, </w:t>
      </w:r>
      <w:r w:rsidR="00F0693B">
        <w:t xml:space="preserve">the </w:t>
      </w:r>
      <w:r w:rsidR="00CA7E96">
        <w:t>right to request a transfer is given to States Parties that have elements</w:t>
      </w:r>
      <w:r w:rsidR="00AB6154">
        <w:t xml:space="preserve"> inscribed on the Lists of the Convention</w:t>
      </w:r>
      <w:r w:rsidR="00F0693B">
        <w:t xml:space="preserve"> </w:t>
      </w:r>
      <w:r w:rsidR="00371F53">
        <w:t>as stated in paragraph 38.</w:t>
      </w:r>
      <w:r w:rsidR="00CA7E96">
        <w:t xml:space="preserve"> </w:t>
      </w:r>
      <w:r w:rsidR="00AB6154">
        <w:t>I</w:t>
      </w:r>
      <w:r w:rsidR="00371F53">
        <w:t xml:space="preserve">t is impossible </w:t>
      </w:r>
      <w:r w:rsidR="00CA7E96">
        <w:t xml:space="preserve">to foresee how many requests the Committee might receive every year and whether </w:t>
      </w:r>
      <w:r w:rsidR="006F4750">
        <w:t xml:space="preserve">or not </w:t>
      </w:r>
      <w:r w:rsidR="00CA7E96">
        <w:t xml:space="preserve">those requests </w:t>
      </w:r>
      <w:r w:rsidR="00AB6154">
        <w:t xml:space="preserve">should </w:t>
      </w:r>
      <w:r w:rsidR="00CA7E96">
        <w:t xml:space="preserve">be considered within the ceiling of files </w:t>
      </w:r>
      <w:r w:rsidR="00371F53">
        <w:t xml:space="preserve">(currently 50 files </w:t>
      </w:r>
      <w:r w:rsidR="008D33F6">
        <w:rPr>
          <w:rFonts w:eastAsia="Malgun Gothic" w:hint="eastAsia"/>
          <w:lang w:eastAsia="ko-KR"/>
        </w:rPr>
        <w:t>per</w:t>
      </w:r>
      <w:r w:rsidR="008D33F6">
        <w:t xml:space="preserve"> </w:t>
      </w:r>
      <w:r w:rsidR="00371F53">
        <w:t xml:space="preserve">cycle) </w:t>
      </w:r>
      <w:r w:rsidR="00CA7E96">
        <w:t xml:space="preserve">to be examined during a specific cycle. In the case of Viet Nam, the Committee has decided to treat the transfer request above the </w:t>
      </w:r>
      <w:r w:rsidR="00371F53">
        <w:t xml:space="preserve">established </w:t>
      </w:r>
      <w:r w:rsidR="00CA7E96">
        <w:t xml:space="preserve">overall ceiling for the 2017 cycle. </w:t>
      </w:r>
      <w:r w:rsidR="00AB6154">
        <w:t>T</w:t>
      </w:r>
      <w:r w:rsidR="00CA7E96">
        <w:t xml:space="preserve">his </w:t>
      </w:r>
      <w:r w:rsidR="00AB6154">
        <w:t>was</w:t>
      </w:r>
      <w:r w:rsidR="00CA7E96">
        <w:t xml:space="preserve"> decided on an exceptional basis and pending the adoption of relevant procedures by the General Assembly in 2018 (paragraph 7 of </w:t>
      </w:r>
      <w:hyperlink r:id="rId10" w:history="1">
        <w:r w:rsidR="00CA7E96" w:rsidRPr="008220FD">
          <w:rPr>
            <w:rStyle w:val="Hyperlink"/>
          </w:rPr>
          <w:t>Decision 10.COM 19</w:t>
        </w:r>
      </w:hyperlink>
      <w:r w:rsidR="00BE3349" w:rsidRPr="00BE3349">
        <w:t>)</w:t>
      </w:r>
      <w:r w:rsidR="00BE3349">
        <w:t xml:space="preserve">. The Committee may </w:t>
      </w:r>
      <w:r w:rsidR="00CA7E96">
        <w:t xml:space="preserve">wish </w:t>
      </w:r>
      <w:r w:rsidR="00C30033">
        <w:t>to discuss</w:t>
      </w:r>
      <w:r w:rsidR="00CA7E96">
        <w:t xml:space="preserve"> </w:t>
      </w:r>
      <w:r w:rsidR="00BE3349">
        <w:t xml:space="preserve">this point bearing in mind that this could have </w:t>
      </w:r>
      <w:r w:rsidR="00371F53">
        <w:t>a</w:t>
      </w:r>
      <w:r w:rsidR="00BE3349">
        <w:t xml:space="preserve"> </w:t>
      </w:r>
      <w:r w:rsidR="00AB6154">
        <w:t>considerable</w:t>
      </w:r>
      <w:r w:rsidR="00BE3349">
        <w:t xml:space="preserve"> impact on the workload of the Secretariat</w:t>
      </w:r>
      <w:r w:rsidR="00371F53">
        <w:t>, the Evaluation Body</w:t>
      </w:r>
      <w:r w:rsidR="00BE3349">
        <w:t xml:space="preserve"> and the Committee itself.</w:t>
      </w:r>
    </w:p>
    <w:p w:rsidR="00C95A7F" w:rsidRDefault="00274ACA" w:rsidP="00A6526E">
      <w:pPr>
        <w:pStyle w:val="COMPara"/>
        <w:spacing w:before="0"/>
        <w:ind w:left="567" w:hanging="567"/>
      </w:pPr>
      <w:r>
        <w:t xml:space="preserve">Lastly, </w:t>
      </w:r>
      <w:r w:rsidR="00353EDE">
        <w:t xml:space="preserve">although importantly, </w:t>
      </w:r>
      <w:r>
        <w:t>the issue of</w:t>
      </w:r>
      <w:r w:rsidR="001071C7">
        <w:t xml:space="preserve"> the</w:t>
      </w:r>
      <w:r>
        <w:t xml:space="preserve"> ‘transfer’ or ‘removal’ of elements </w:t>
      </w:r>
      <w:r w:rsidR="00AB6154">
        <w:t>should</w:t>
      </w:r>
      <w:r>
        <w:t xml:space="preserve"> be viewed </w:t>
      </w:r>
      <w:r w:rsidR="00AB6154">
        <w:t xml:space="preserve">against the background of the purposes of </w:t>
      </w:r>
      <w:r>
        <w:t xml:space="preserve">the Lists </w:t>
      </w:r>
      <w:r w:rsidR="00AB6154">
        <w:t>of the Convention</w:t>
      </w:r>
      <w:r w:rsidR="00036E22">
        <w:t>. Under</w:t>
      </w:r>
      <w:r w:rsidR="00FD20BF">
        <w:t xml:space="preserve"> the 2003 Convention</w:t>
      </w:r>
      <w:r w:rsidR="001071C7">
        <w:t>,</w:t>
      </w:r>
      <w:r w:rsidR="00036E22">
        <w:t xml:space="preserve"> the Representative List and the Urgent Safeguarding List each ha</w:t>
      </w:r>
      <w:r w:rsidR="00AB6154">
        <w:t>ve</w:t>
      </w:r>
      <w:r w:rsidR="00036E22">
        <w:t xml:space="preserve"> </w:t>
      </w:r>
      <w:r w:rsidR="00353EDE">
        <w:t xml:space="preserve">distinct and </w:t>
      </w:r>
      <w:r w:rsidR="00036E22">
        <w:t>specific objectives as set out under Article 16 and Article 17 respectively</w:t>
      </w:r>
      <w:r w:rsidR="00AB6154">
        <w:t xml:space="preserve"> and as further elaborated in the Operational Directives</w:t>
      </w:r>
      <w:r w:rsidR="00296703">
        <w:t>.</w:t>
      </w:r>
      <w:r w:rsidR="00AB6154">
        <w:t xml:space="preserve"> </w:t>
      </w:r>
      <w:r w:rsidR="00320DEE">
        <w:t xml:space="preserve">Moreover, as stipulated </w:t>
      </w:r>
      <w:r w:rsidR="008D33F6">
        <w:rPr>
          <w:rFonts w:eastAsia="Malgun Gothic" w:hint="eastAsia"/>
          <w:lang w:eastAsia="ko-KR"/>
        </w:rPr>
        <w:t xml:space="preserve">in </w:t>
      </w:r>
      <w:r w:rsidR="00320DEE">
        <w:t>paragraph 38 of the Operational Directives</w:t>
      </w:r>
      <w:r w:rsidR="00AB6154">
        <w:t>,</w:t>
      </w:r>
      <w:r w:rsidR="00036E22">
        <w:t xml:space="preserve"> an element may not be simultaneously inscribed on both Lists</w:t>
      </w:r>
      <w:r w:rsidR="00AB6154">
        <w:t xml:space="preserve">. </w:t>
      </w:r>
      <w:r w:rsidR="001071C7">
        <w:t xml:space="preserve">The premature </w:t>
      </w:r>
      <w:r w:rsidR="005233AE">
        <w:t xml:space="preserve">transfer or removal of an element might jeopardise the very purpose of the Urgent Safeguarding List and reinforce the already prominent tendency by the States Parties to privilege the Representative List. </w:t>
      </w:r>
      <w:r w:rsidR="00353EDE">
        <w:t xml:space="preserve">It would seem pertinent therefore that the </w:t>
      </w:r>
      <w:r w:rsidR="0066230C">
        <w:t>C</w:t>
      </w:r>
      <w:r w:rsidR="00353EDE">
        <w:t>ommittee consider the broad context of the 2003</w:t>
      </w:r>
      <w:r w:rsidR="005233AE">
        <w:t> </w:t>
      </w:r>
      <w:r w:rsidR="0066230C">
        <w:t>C</w:t>
      </w:r>
      <w:r w:rsidR="00353EDE">
        <w:t xml:space="preserve">onvention and the full range of </w:t>
      </w:r>
      <w:r w:rsidR="0066230C">
        <w:t xml:space="preserve">its </w:t>
      </w:r>
      <w:r w:rsidR="00353EDE">
        <w:t xml:space="preserve">mechanisms in order to </w:t>
      </w:r>
      <w:r w:rsidR="0066230C">
        <w:t xml:space="preserve">address both </w:t>
      </w:r>
      <w:r w:rsidR="00C95A7F">
        <w:t>‘</w:t>
      </w:r>
      <w:r w:rsidR="0066230C">
        <w:t>transfer</w:t>
      </w:r>
      <w:r w:rsidR="00C95A7F">
        <w:t>’</w:t>
      </w:r>
      <w:r w:rsidR="0066230C">
        <w:t xml:space="preserve"> and </w:t>
      </w:r>
      <w:r w:rsidR="00C95A7F">
        <w:t>‘</w:t>
      </w:r>
      <w:r w:rsidR="0066230C">
        <w:t>removal</w:t>
      </w:r>
      <w:r w:rsidR="00C95A7F">
        <w:t>’</w:t>
      </w:r>
      <w:r w:rsidR="00353EDE">
        <w:t xml:space="preserve"> in a way that is consistent and in line with </w:t>
      </w:r>
      <w:r w:rsidR="0066230C">
        <w:t xml:space="preserve">its </w:t>
      </w:r>
      <w:r w:rsidR="00353EDE">
        <w:t>intent and purpose.</w:t>
      </w:r>
      <w:r w:rsidR="005233AE" w:rsidRPr="005233AE">
        <w:t xml:space="preserve"> </w:t>
      </w:r>
      <w:r w:rsidR="005233AE">
        <w:t>For example, the Committee might also give consideration to the possibility of making better use of Article 18 of the Convention</w:t>
      </w:r>
      <w:r w:rsidR="001071C7">
        <w:t>.</w:t>
      </w:r>
      <w:r w:rsidR="005233AE">
        <w:t xml:space="preserve"> </w:t>
      </w:r>
      <w:r w:rsidR="001071C7">
        <w:t xml:space="preserve">This </w:t>
      </w:r>
      <w:r w:rsidR="005233AE">
        <w:t xml:space="preserve">promotes </w:t>
      </w:r>
      <w:r w:rsidR="001071C7">
        <w:t xml:space="preserve">those </w:t>
      </w:r>
      <w:r w:rsidR="005233AE">
        <w:t xml:space="preserve">programmes, projects and activities for the safeguarding of the intangible cultural heritage which the Committee considers best reflect the principles and objectives of the 2003 Convention, in case of successful safeguarding efforts which have led to a situation </w:t>
      </w:r>
      <w:r w:rsidR="001071C7">
        <w:t xml:space="preserve">wherein </w:t>
      </w:r>
      <w:r w:rsidR="005233AE">
        <w:t>an element considered in need of urgent safeguarding is no longer deemed to be so.</w:t>
      </w:r>
    </w:p>
    <w:p w:rsidR="00467101" w:rsidRPr="00467101" w:rsidRDefault="00467101">
      <w:pPr>
        <w:pStyle w:val="COMPara"/>
        <w:numPr>
          <w:ilvl w:val="0"/>
          <w:numId w:val="0"/>
        </w:numPr>
        <w:ind w:left="567"/>
        <w:rPr>
          <w:b/>
        </w:rPr>
      </w:pPr>
      <w:r w:rsidRPr="00467101">
        <w:rPr>
          <w:b/>
        </w:rPr>
        <w:t>Future steps</w:t>
      </w:r>
    </w:p>
    <w:p w:rsidR="001E5E44" w:rsidRDefault="00BE3349" w:rsidP="00AF2597">
      <w:pPr>
        <w:pStyle w:val="COMPara"/>
        <w:spacing w:before="0"/>
        <w:ind w:left="567" w:hanging="567"/>
      </w:pPr>
      <w:r>
        <w:t xml:space="preserve">In paragraph 6 of </w:t>
      </w:r>
      <w:hyperlink r:id="rId11" w:history="1">
        <w:r w:rsidRPr="008220FD">
          <w:rPr>
            <w:rStyle w:val="Hyperlink"/>
          </w:rPr>
          <w:t>Decision 10.COM 19</w:t>
        </w:r>
      </w:hyperlink>
      <w:r>
        <w:t>, t</w:t>
      </w:r>
      <w:r w:rsidR="005F347B">
        <w:t>he Committee has highlighted that the experience gained in the examination of the Vietnamese request can feed into the reflection on the possible proposal for</w:t>
      </w:r>
      <w:r w:rsidR="001071C7">
        <w:t xml:space="preserve"> the</w:t>
      </w:r>
      <w:r w:rsidR="005F347B">
        <w:t xml:space="preserve"> revision of the Operational Directives</w:t>
      </w:r>
      <w:r>
        <w:t xml:space="preserve">; </w:t>
      </w:r>
      <w:r w:rsidR="005F347B">
        <w:t>however</w:t>
      </w:r>
      <w:r w:rsidR="001071C7">
        <w:t>,</w:t>
      </w:r>
      <w:r w:rsidR="005F347B">
        <w:t xml:space="preserve"> this will be possible only during its twelfth session in 2017. Viet Nam has duly submitted both a report on the status of the element in question and a new nomination </w:t>
      </w:r>
      <w:r w:rsidR="009F3A25">
        <w:t xml:space="preserve">file for </w:t>
      </w:r>
      <w:r w:rsidR="005F347B">
        <w:t>the same element to the Representative List b</w:t>
      </w:r>
      <w:r w:rsidR="001E5E44">
        <w:t>efore the statutory deadline of 31 March 2016</w:t>
      </w:r>
      <w:r w:rsidR="009F3A25">
        <w:t xml:space="preserve">. These </w:t>
      </w:r>
      <w:r w:rsidR="005F347B">
        <w:t xml:space="preserve">will be evaluated by the Evaluation Body and examined by the Committee only next year </w:t>
      </w:r>
      <w:r w:rsidR="001E5E44">
        <w:t>during the 2017 cycle</w:t>
      </w:r>
      <w:r w:rsidR="005F347B">
        <w:t xml:space="preserve">. This concrete case will </w:t>
      </w:r>
      <w:r w:rsidR="001071C7">
        <w:t xml:space="preserve">therefore </w:t>
      </w:r>
      <w:r w:rsidR="005F347B">
        <w:t>provide some factual elements to further advance in the reflection on transfer</w:t>
      </w:r>
      <w:r w:rsidR="001071C7">
        <w:t>s</w:t>
      </w:r>
      <w:r w:rsidR="005F347B">
        <w:t xml:space="preserve"> and removal</w:t>
      </w:r>
      <w:r w:rsidR="001071C7">
        <w:t>s</w:t>
      </w:r>
      <w:r w:rsidR="005F347B">
        <w:t>.</w:t>
      </w:r>
    </w:p>
    <w:p w:rsidR="002F6B66" w:rsidRDefault="00C30033" w:rsidP="00A54AC9">
      <w:pPr>
        <w:pStyle w:val="COMPara"/>
        <w:spacing w:before="0"/>
        <w:ind w:left="567" w:hanging="567"/>
      </w:pPr>
      <w:r w:rsidRPr="009225D1">
        <w:t>The</w:t>
      </w:r>
      <w:r w:rsidR="00BE3349" w:rsidRPr="009225D1">
        <w:t xml:space="preserve"> </w:t>
      </w:r>
      <w:r w:rsidR="001071C7" w:rsidRPr="009225D1">
        <w:t>open-</w:t>
      </w:r>
      <w:r w:rsidR="00BE3349" w:rsidRPr="009225D1">
        <w:t>ended intergovernmental working group</w:t>
      </w:r>
      <w:r w:rsidR="00EB669A">
        <w:t>,</w:t>
      </w:r>
      <w:r w:rsidR="00BE3349" w:rsidRPr="009225D1">
        <w:t xml:space="preserve"> </w:t>
      </w:r>
      <w:r w:rsidR="009F3A25" w:rsidRPr="009225D1">
        <w:t xml:space="preserve">which </w:t>
      </w:r>
      <w:r w:rsidR="00BE3349" w:rsidRPr="009225D1">
        <w:t xml:space="preserve">the </w:t>
      </w:r>
      <w:r w:rsidR="00BE3349" w:rsidRPr="00302B58">
        <w:t>Committee</w:t>
      </w:r>
      <w:r w:rsidR="00407FDB" w:rsidRPr="00302B58">
        <w:t xml:space="preserve"> </w:t>
      </w:r>
      <w:r w:rsidR="004A71F4" w:rsidRPr="00302B58">
        <w:t xml:space="preserve">wished </w:t>
      </w:r>
      <w:r w:rsidR="00BE3349" w:rsidRPr="00302B58">
        <w:t xml:space="preserve">to be held before its twelfth session </w:t>
      </w:r>
      <w:r w:rsidR="00407FDB" w:rsidRPr="00302B58">
        <w:t>in 2017</w:t>
      </w:r>
      <w:r w:rsidR="009F3A25" w:rsidRPr="00302B58">
        <w:t xml:space="preserve"> </w:t>
      </w:r>
      <w:r w:rsidR="00D4523F" w:rsidRPr="00302B58">
        <w:t>in order</w:t>
      </w:r>
      <w:r w:rsidR="00407FDB" w:rsidRPr="00302B58">
        <w:t xml:space="preserve"> </w:t>
      </w:r>
      <w:r w:rsidR="00BE3349" w:rsidRPr="00302B58">
        <w:t xml:space="preserve">to discuss draft </w:t>
      </w:r>
      <w:r w:rsidR="00DB0310" w:rsidRPr="00302B58">
        <w:t>o</w:t>
      </w:r>
      <w:r w:rsidR="004A71F4" w:rsidRPr="00302B58">
        <w:t xml:space="preserve">perational </w:t>
      </w:r>
      <w:r w:rsidR="00DB0310" w:rsidRPr="00302B58">
        <w:t>d</w:t>
      </w:r>
      <w:r w:rsidR="004A71F4" w:rsidRPr="00302B58">
        <w:t>irectives</w:t>
      </w:r>
      <w:r w:rsidR="004A71F4" w:rsidRPr="009225D1">
        <w:t xml:space="preserve"> </w:t>
      </w:r>
      <w:r w:rsidR="00BE3349" w:rsidRPr="009225D1">
        <w:t xml:space="preserve">on the </w:t>
      </w:r>
      <w:r w:rsidR="004A71F4" w:rsidRPr="009225D1">
        <w:t xml:space="preserve">transfer and removal </w:t>
      </w:r>
      <w:r w:rsidR="00BE3349" w:rsidRPr="009225D1">
        <w:t>procedure</w:t>
      </w:r>
      <w:r w:rsidR="009F3A25" w:rsidRPr="009225D1">
        <w:t>s</w:t>
      </w:r>
      <w:r w:rsidR="00BE3349" w:rsidRPr="009225D1">
        <w:t xml:space="preserve"> (</w:t>
      </w:r>
      <w:r w:rsidR="00BE3349">
        <w:t xml:space="preserve">paragraph 10 of </w:t>
      </w:r>
      <w:hyperlink r:id="rId12" w:history="1">
        <w:r w:rsidR="00BE3349" w:rsidRPr="008220FD">
          <w:rPr>
            <w:rStyle w:val="Hyperlink"/>
          </w:rPr>
          <w:t>Decision 10.COM 19</w:t>
        </w:r>
      </w:hyperlink>
      <w:r w:rsidR="00BE3349">
        <w:t>)</w:t>
      </w:r>
      <w:r w:rsidR="00AD2866">
        <w:t>,</w:t>
      </w:r>
      <w:r w:rsidR="00BE3349">
        <w:t xml:space="preserve"> </w:t>
      </w:r>
      <w:r w:rsidR="00BE3349" w:rsidRPr="00BE3349">
        <w:t xml:space="preserve">could </w:t>
      </w:r>
      <w:r w:rsidR="00BE3349">
        <w:t>provide a fundamental contribution to the debate on this topic. However</w:t>
      </w:r>
      <w:r w:rsidR="00EA10C5">
        <w:t>,</w:t>
      </w:r>
      <w:r w:rsidR="00BE3349">
        <w:t xml:space="preserve"> this meeting will be organized </w:t>
      </w:r>
      <w:r w:rsidR="00407FDB">
        <w:t xml:space="preserve">subject to </w:t>
      </w:r>
      <w:r w:rsidR="00BE3349">
        <w:t xml:space="preserve">voluntary supplementary contributions to the Intangible Cultural Heritage Fund </w:t>
      </w:r>
      <w:r>
        <w:t>be</w:t>
      </w:r>
      <w:r w:rsidR="004A71F4">
        <w:t>ing</w:t>
      </w:r>
      <w:r>
        <w:t xml:space="preserve"> </w:t>
      </w:r>
      <w:r w:rsidR="00BE3349">
        <w:t xml:space="preserve">received in due </w:t>
      </w:r>
      <w:r w:rsidR="00891C19">
        <w:t>course</w:t>
      </w:r>
      <w:r w:rsidR="00BE3349">
        <w:t xml:space="preserve"> and in any case not later than January 2017</w:t>
      </w:r>
      <w:r w:rsidR="00407FDB">
        <w:t>.</w:t>
      </w:r>
      <w:r w:rsidR="00BE3349">
        <w:t xml:space="preserve"> </w:t>
      </w:r>
      <w:r w:rsidR="00407FDB">
        <w:t>S</w:t>
      </w:r>
      <w:r w:rsidR="00BE3349">
        <w:t>o far</w:t>
      </w:r>
      <w:r w:rsidR="00407FDB">
        <w:t xml:space="preserve">, the Secretariat has not received </w:t>
      </w:r>
      <w:r w:rsidR="00BE3349">
        <w:t>such contribution.</w:t>
      </w:r>
      <w:r w:rsidR="00EA10C5">
        <w:t xml:space="preserve"> </w:t>
      </w:r>
      <w:r w:rsidR="004A71F4">
        <w:t>If</w:t>
      </w:r>
      <w:r w:rsidR="00EA10C5">
        <w:t xml:space="preserve"> </w:t>
      </w:r>
      <w:r w:rsidR="008C0361">
        <w:t xml:space="preserve">the </w:t>
      </w:r>
      <w:r w:rsidR="00EA10C5">
        <w:t xml:space="preserve">necessary contributions are received </w:t>
      </w:r>
      <w:r w:rsidR="008C0361">
        <w:t xml:space="preserve">by </w:t>
      </w:r>
      <w:r w:rsidR="008C0361">
        <w:lastRenderedPageBreak/>
        <w:t>January 2017</w:t>
      </w:r>
      <w:r w:rsidR="00EA10C5">
        <w:t xml:space="preserve">, the timing of the Vietnamese request, which will be treated by the Committee at its twelfth session in 2017, means that </w:t>
      </w:r>
      <w:r w:rsidR="008C0361">
        <w:t xml:space="preserve">an </w:t>
      </w:r>
      <w:r w:rsidR="004A71F4">
        <w:t>open-</w:t>
      </w:r>
      <w:r w:rsidR="00EA10C5">
        <w:t>ended intergovernmental working group</w:t>
      </w:r>
      <w:r w:rsidR="008C0361">
        <w:t xml:space="preserve"> held in 2017</w:t>
      </w:r>
      <w:r w:rsidR="00EA10C5">
        <w:t xml:space="preserve"> w</w:t>
      </w:r>
      <w:r w:rsidR="008C0361">
        <w:t>ould</w:t>
      </w:r>
      <w:r w:rsidR="00EA10C5">
        <w:t xml:space="preserve"> not be able to take into account the experience gained by this exceptional case. </w:t>
      </w:r>
      <w:r w:rsidR="00A54AC9" w:rsidRPr="00A54AC9">
        <w:t>Therefore, it is suggested that</w:t>
      </w:r>
      <w:r w:rsidR="00492ADC">
        <w:t xml:space="preserve"> the open-ended working group be</w:t>
      </w:r>
      <w:r w:rsidR="00A54AC9" w:rsidRPr="00A54AC9">
        <w:t xml:space="preserve"> held </w:t>
      </w:r>
      <w:r w:rsidR="00492ADC">
        <w:t>after the twelfth session of the Committee</w:t>
      </w:r>
      <w:r w:rsidR="00A54AC9" w:rsidRPr="00A54AC9">
        <w:t>.</w:t>
      </w:r>
    </w:p>
    <w:p w:rsidR="00D95C4C" w:rsidRPr="002F6B66" w:rsidRDefault="000B1C8F" w:rsidP="00AF2597">
      <w:pPr>
        <w:pStyle w:val="COMPara"/>
        <w:spacing w:before="0"/>
        <w:ind w:left="567" w:hanging="567"/>
      </w:pPr>
      <w:r w:rsidRPr="002F6B66">
        <w:t>The Committee may wish to adopt the following decision</w:t>
      </w:r>
      <w:r w:rsidR="00D95C4C" w:rsidRPr="002F6B66">
        <w:t>:</w:t>
      </w:r>
    </w:p>
    <w:p w:rsidR="00D95C4C" w:rsidRPr="00B22CC1" w:rsidRDefault="004A34A0" w:rsidP="00041A66">
      <w:pPr>
        <w:pStyle w:val="COMTitleDecision"/>
        <w:rPr>
          <w:rFonts w:eastAsia="SimSun"/>
        </w:rPr>
      </w:pPr>
      <w:r w:rsidRPr="00B22CC1">
        <w:t xml:space="preserve">DRAFT </w:t>
      </w:r>
      <w:r w:rsidR="00CB0542" w:rsidRPr="00B22CC1">
        <w:t>DECISION 11</w:t>
      </w:r>
      <w:r w:rsidR="00EC6F8D" w:rsidRPr="00B22CC1">
        <w:t>.COM</w:t>
      </w:r>
      <w:r w:rsidR="00C0741C" w:rsidRPr="00B22CC1">
        <w:t> 13</w:t>
      </w:r>
    </w:p>
    <w:p w:rsidR="00D95C4C" w:rsidRPr="00B22CC1" w:rsidRDefault="00285BB4" w:rsidP="00AF2597">
      <w:pPr>
        <w:pStyle w:val="COMPreambulaDecisions"/>
        <w:spacing w:before="0"/>
        <w:rPr>
          <w:rFonts w:eastAsia="SimSun"/>
        </w:rPr>
      </w:pPr>
      <w:r w:rsidRPr="00B22CC1">
        <w:t>The Committee,</w:t>
      </w:r>
    </w:p>
    <w:p w:rsidR="0039561C" w:rsidRPr="00D51965" w:rsidRDefault="0039561C" w:rsidP="00AF2597">
      <w:pPr>
        <w:pStyle w:val="COMParaDecision"/>
        <w:numPr>
          <w:ilvl w:val="0"/>
          <w:numId w:val="15"/>
        </w:numPr>
        <w:spacing w:before="0"/>
        <w:ind w:left="1134" w:hanging="567"/>
      </w:pPr>
      <w:r w:rsidRPr="00C43771">
        <w:t>Having examined</w:t>
      </w:r>
      <w:r w:rsidRPr="00D51965">
        <w:rPr>
          <w:u w:val="none"/>
        </w:rPr>
        <w:t xml:space="preserve"> document ITH/16/11.COM/13</w:t>
      </w:r>
      <w:r w:rsidR="00C43771" w:rsidRPr="00D51965">
        <w:rPr>
          <w:u w:val="none"/>
        </w:rPr>
        <w:t>,</w:t>
      </w:r>
    </w:p>
    <w:p w:rsidR="0039561C" w:rsidRPr="00C43771" w:rsidRDefault="0039561C" w:rsidP="00AF2597">
      <w:pPr>
        <w:pStyle w:val="COMParaDecision"/>
        <w:numPr>
          <w:ilvl w:val="0"/>
          <w:numId w:val="15"/>
        </w:numPr>
        <w:spacing w:before="0"/>
        <w:ind w:left="1134" w:hanging="567"/>
        <w:rPr>
          <w:u w:val="none"/>
        </w:rPr>
      </w:pPr>
      <w:r w:rsidRPr="002912E3">
        <w:t>Recalling</w:t>
      </w:r>
      <w:r w:rsidRPr="00C43771">
        <w:rPr>
          <w:u w:val="none"/>
        </w:rPr>
        <w:t> paragraphs 38, 39</w:t>
      </w:r>
      <w:r w:rsidR="0029392E" w:rsidRPr="00C43771">
        <w:rPr>
          <w:u w:val="none"/>
        </w:rPr>
        <w:t>,</w:t>
      </w:r>
      <w:r w:rsidRPr="00C43771">
        <w:rPr>
          <w:u w:val="none"/>
        </w:rPr>
        <w:t xml:space="preserve"> 40 </w:t>
      </w:r>
      <w:r w:rsidR="0029392E" w:rsidRPr="00C43771">
        <w:rPr>
          <w:u w:val="none"/>
        </w:rPr>
        <w:t xml:space="preserve">and 80 (e) </w:t>
      </w:r>
      <w:r w:rsidRPr="00C43771">
        <w:rPr>
          <w:u w:val="none"/>
        </w:rPr>
        <w:t>of the Operational Directives</w:t>
      </w:r>
      <w:r w:rsidR="00C43771">
        <w:rPr>
          <w:u w:val="none"/>
        </w:rPr>
        <w:t>,</w:t>
      </w:r>
    </w:p>
    <w:p w:rsidR="0039561C" w:rsidRPr="00C43771" w:rsidRDefault="0039561C" w:rsidP="00AF2597">
      <w:pPr>
        <w:pStyle w:val="COMParaDecision"/>
        <w:numPr>
          <w:ilvl w:val="0"/>
          <w:numId w:val="15"/>
        </w:numPr>
        <w:spacing w:before="0"/>
        <w:ind w:left="1134" w:hanging="567"/>
      </w:pPr>
      <w:r w:rsidRPr="00C43771">
        <w:t>Further recalling</w:t>
      </w:r>
      <w:r w:rsidRPr="00C43771">
        <w:rPr>
          <w:u w:val="none"/>
        </w:rPr>
        <w:t xml:space="preserve"> Decision </w:t>
      </w:r>
      <w:hyperlink r:id="rId13" w:history="1">
        <w:r w:rsidRPr="00A03B0B">
          <w:rPr>
            <w:rStyle w:val="Hyperlink"/>
          </w:rPr>
          <w:t>10.COM 19</w:t>
        </w:r>
      </w:hyperlink>
      <w:bookmarkStart w:id="0" w:name="_GoBack"/>
      <w:bookmarkEnd w:id="0"/>
      <w:r w:rsidR="00C43771">
        <w:rPr>
          <w:u w:val="none"/>
        </w:rPr>
        <w:t>,</w:t>
      </w:r>
    </w:p>
    <w:p w:rsidR="0039561C" w:rsidRPr="00C43771" w:rsidRDefault="0039561C" w:rsidP="00AF2597">
      <w:pPr>
        <w:pStyle w:val="COMParaDecision"/>
        <w:numPr>
          <w:ilvl w:val="0"/>
          <w:numId w:val="15"/>
        </w:numPr>
        <w:spacing w:before="0"/>
        <w:ind w:left="1134" w:hanging="567"/>
        <w:rPr>
          <w:u w:val="none"/>
        </w:rPr>
      </w:pPr>
      <w:r w:rsidRPr="00C43771">
        <w:t>Noting</w:t>
      </w:r>
      <w:r w:rsidRPr="00C43771">
        <w:rPr>
          <w:u w:val="none"/>
        </w:rPr>
        <w:t xml:space="preserve"> the debate </w:t>
      </w:r>
      <w:r w:rsidR="0029392E" w:rsidRPr="00C43771">
        <w:rPr>
          <w:u w:val="none"/>
        </w:rPr>
        <w:t xml:space="preserve">held </w:t>
      </w:r>
      <w:r w:rsidRPr="00C43771">
        <w:rPr>
          <w:u w:val="none"/>
        </w:rPr>
        <w:t xml:space="preserve">at its tenth session on </w:t>
      </w:r>
      <w:r w:rsidR="00367A78" w:rsidRPr="00C43771">
        <w:rPr>
          <w:u w:val="none"/>
        </w:rPr>
        <w:t xml:space="preserve">a </w:t>
      </w:r>
      <w:r w:rsidRPr="00C43771">
        <w:rPr>
          <w:u w:val="none"/>
        </w:rPr>
        <w:t xml:space="preserve">request received </w:t>
      </w:r>
      <w:r w:rsidR="0029392E" w:rsidRPr="00C43771">
        <w:rPr>
          <w:u w:val="none"/>
        </w:rPr>
        <w:t xml:space="preserve">for the first time in the history of the Convention </w:t>
      </w:r>
      <w:r w:rsidR="00D80C0E" w:rsidRPr="00C43771">
        <w:rPr>
          <w:u w:val="none"/>
        </w:rPr>
        <w:t xml:space="preserve">concerning the </w:t>
      </w:r>
      <w:r w:rsidRPr="00C43771">
        <w:rPr>
          <w:u w:val="none"/>
        </w:rPr>
        <w:t xml:space="preserve">transfer </w:t>
      </w:r>
      <w:r w:rsidR="00D80C0E" w:rsidRPr="00C43771">
        <w:rPr>
          <w:u w:val="none"/>
        </w:rPr>
        <w:t xml:space="preserve">of an </w:t>
      </w:r>
      <w:r w:rsidRPr="00C43771">
        <w:rPr>
          <w:u w:val="none"/>
        </w:rPr>
        <w:t>element from the List of Intangible Cultural Heritage in Need of Urgent Safeguarding to the Representative List of the Intangible Cultural Heritage of Humanity</w:t>
      </w:r>
      <w:r w:rsidR="00C43771">
        <w:rPr>
          <w:u w:val="none"/>
        </w:rPr>
        <w:t>,</w:t>
      </w:r>
    </w:p>
    <w:p w:rsidR="00616FEC" w:rsidRPr="00C43771" w:rsidRDefault="001F6CBA" w:rsidP="00717196">
      <w:pPr>
        <w:pStyle w:val="COMParaDecision"/>
        <w:numPr>
          <w:ilvl w:val="0"/>
          <w:numId w:val="15"/>
        </w:numPr>
        <w:spacing w:before="0"/>
        <w:ind w:left="1134" w:hanging="567"/>
        <w:rPr>
          <w:u w:val="none"/>
        </w:rPr>
      </w:pPr>
      <w:r w:rsidRPr="00C43771">
        <w:t>Considering</w:t>
      </w:r>
      <w:r w:rsidR="00616FEC" w:rsidRPr="00C43771">
        <w:rPr>
          <w:u w:val="none"/>
        </w:rPr>
        <w:t xml:space="preserve"> that the </w:t>
      </w:r>
      <w:r w:rsidR="00717196" w:rsidRPr="00C43771">
        <w:rPr>
          <w:u w:val="none"/>
        </w:rPr>
        <w:t xml:space="preserve">request of Viet Nam </w:t>
      </w:r>
      <w:r w:rsidR="009F02A6" w:rsidRPr="00C43771">
        <w:rPr>
          <w:u w:val="none"/>
        </w:rPr>
        <w:t>concerning</w:t>
      </w:r>
      <w:r w:rsidR="00717196" w:rsidRPr="00C43771">
        <w:rPr>
          <w:u w:val="none"/>
        </w:rPr>
        <w:t xml:space="preserve"> the element ‘Xoan singing of Phú Thọ Province, Viet Nam’ </w:t>
      </w:r>
      <w:r w:rsidR="00616FEC" w:rsidRPr="00C43771">
        <w:rPr>
          <w:u w:val="none"/>
        </w:rPr>
        <w:t>will be examined by the Committee at its twelfth session in 2017</w:t>
      </w:r>
      <w:r w:rsidRPr="00C43771">
        <w:rPr>
          <w:u w:val="none"/>
        </w:rPr>
        <w:t>,</w:t>
      </w:r>
      <w:r w:rsidR="00616FEC" w:rsidRPr="00C43771">
        <w:rPr>
          <w:u w:val="none"/>
        </w:rPr>
        <w:t xml:space="preserve"> </w:t>
      </w:r>
      <w:r w:rsidRPr="00C43771">
        <w:rPr>
          <w:u w:val="none"/>
        </w:rPr>
        <w:t>as an exceptional treatment,</w:t>
      </w:r>
      <w:r w:rsidR="00616FEC" w:rsidRPr="00C43771">
        <w:rPr>
          <w:u w:val="none"/>
        </w:rPr>
        <w:t xml:space="preserve"> </w:t>
      </w:r>
      <w:r w:rsidRPr="00C43771">
        <w:rPr>
          <w:u w:val="none"/>
        </w:rPr>
        <w:t>and that the experience gained will feed into</w:t>
      </w:r>
      <w:r w:rsidR="00616FEC" w:rsidRPr="00C43771">
        <w:rPr>
          <w:u w:val="none"/>
        </w:rPr>
        <w:t xml:space="preserve"> </w:t>
      </w:r>
      <w:r w:rsidRPr="00C43771">
        <w:rPr>
          <w:u w:val="none"/>
        </w:rPr>
        <w:t>further</w:t>
      </w:r>
      <w:r w:rsidR="00616FEC" w:rsidRPr="00C43771">
        <w:rPr>
          <w:u w:val="none"/>
        </w:rPr>
        <w:t xml:space="preserve"> reflection on procedures that would clarify the transfer of an element from one List to the other and the removal of an element from a List</w:t>
      </w:r>
      <w:r w:rsidR="00C43771">
        <w:rPr>
          <w:u w:val="none"/>
        </w:rPr>
        <w:t>,</w:t>
      </w:r>
    </w:p>
    <w:p w:rsidR="00425808" w:rsidRPr="00C43771" w:rsidRDefault="00425808" w:rsidP="00425808">
      <w:pPr>
        <w:pStyle w:val="COMParaDecision"/>
        <w:numPr>
          <w:ilvl w:val="0"/>
          <w:numId w:val="15"/>
        </w:numPr>
        <w:spacing w:before="0"/>
        <w:ind w:left="1134" w:hanging="567"/>
        <w:rPr>
          <w:u w:val="none"/>
        </w:rPr>
      </w:pPr>
      <w:r w:rsidRPr="00C43771">
        <w:t>Decides</w:t>
      </w:r>
      <w:r w:rsidRPr="00C43771">
        <w:rPr>
          <w:u w:val="none"/>
        </w:rPr>
        <w:t xml:space="preserve"> to continue the general reflection on this item at its next session </w:t>
      </w:r>
      <w:r w:rsidR="00264440" w:rsidRPr="00C43771">
        <w:rPr>
          <w:u w:val="none"/>
        </w:rPr>
        <w:t>in light of</w:t>
      </w:r>
      <w:r w:rsidRPr="00C43771">
        <w:rPr>
          <w:u w:val="none"/>
        </w:rPr>
        <w:t xml:space="preserve"> the examination of the</w:t>
      </w:r>
      <w:r w:rsidR="00212DFF" w:rsidRPr="00C43771">
        <w:rPr>
          <w:u w:val="none"/>
        </w:rPr>
        <w:t xml:space="preserve"> element</w:t>
      </w:r>
      <w:r w:rsidRPr="00C43771">
        <w:rPr>
          <w:u w:val="none"/>
        </w:rPr>
        <w:t xml:space="preserve"> </w:t>
      </w:r>
      <w:r w:rsidR="00212DFF" w:rsidRPr="00C43771">
        <w:rPr>
          <w:u w:val="none"/>
        </w:rPr>
        <w:t>‘Xoan singing of Phú Thọ Province, Viet Nam’</w:t>
      </w:r>
      <w:r w:rsidRPr="00C43771">
        <w:rPr>
          <w:u w:val="none"/>
        </w:rPr>
        <w:t>;</w:t>
      </w:r>
    </w:p>
    <w:p w:rsidR="00425808" w:rsidRPr="00D51965" w:rsidRDefault="00425808" w:rsidP="00425808">
      <w:pPr>
        <w:pStyle w:val="COMParaDecision"/>
        <w:numPr>
          <w:ilvl w:val="0"/>
          <w:numId w:val="15"/>
        </w:numPr>
        <w:spacing w:before="0"/>
        <w:ind w:left="1134" w:hanging="567"/>
        <w:rPr>
          <w:u w:val="none"/>
        </w:rPr>
      </w:pPr>
      <w:r w:rsidRPr="00C43771">
        <w:t>Calls upon</w:t>
      </w:r>
      <w:r w:rsidRPr="00C43771">
        <w:rPr>
          <w:u w:val="none"/>
        </w:rPr>
        <w:t xml:space="preserve"> States Parties to voluntarily contribute to the Intangible Cultural Heritage Fund in order for the Secretariat to receive in due course, and in any case not later than January 2018, the necessary funds for organizing the open-ended intergovernmental working group to discuss draft operational directives on the procedure for </w:t>
      </w:r>
      <w:r w:rsidR="009225D1" w:rsidRPr="006068DC">
        <w:rPr>
          <w:u w:val="none"/>
        </w:rPr>
        <w:t xml:space="preserve">the </w:t>
      </w:r>
      <w:r w:rsidRPr="00C43771">
        <w:rPr>
          <w:u w:val="none"/>
        </w:rPr>
        <w:t>removal of</w:t>
      </w:r>
      <w:r w:rsidRPr="00D51965">
        <w:rPr>
          <w:u w:val="none"/>
        </w:rPr>
        <w:t xml:space="preserve"> an element from a List and the transfer of an element from one </w:t>
      </w:r>
      <w:r w:rsidR="009225D1" w:rsidRPr="006068DC">
        <w:rPr>
          <w:u w:val="none"/>
        </w:rPr>
        <w:t>L</w:t>
      </w:r>
      <w:r w:rsidR="009225D1" w:rsidRPr="00C43771">
        <w:rPr>
          <w:u w:val="none"/>
        </w:rPr>
        <w:t xml:space="preserve">ist </w:t>
      </w:r>
      <w:r w:rsidRPr="00D51965">
        <w:rPr>
          <w:u w:val="none"/>
        </w:rPr>
        <w:t xml:space="preserve">to the other; this contribution will have to cover all of the costs of organizing the meeting </w:t>
      </w:r>
      <w:r w:rsidRPr="002912E3">
        <w:rPr>
          <w:u w:val="none"/>
        </w:rPr>
        <w:t>as well as those</w:t>
      </w:r>
      <w:r w:rsidRPr="00C43771">
        <w:rPr>
          <w:u w:val="none"/>
        </w:rPr>
        <w:t xml:space="preserve"> of the participation of representatives of developing countries that are parties to the Convention, whether or not </w:t>
      </w:r>
      <w:r w:rsidR="009225D1" w:rsidRPr="006068DC">
        <w:rPr>
          <w:u w:val="none"/>
        </w:rPr>
        <w:t xml:space="preserve">they are </w:t>
      </w:r>
      <w:r w:rsidRPr="00C43771">
        <w:rPr>
          <w:u w:val="none"/>
        </w:rPr>
        <w:t>members of the Committee, but only for persons who are experts in intangible cultural heritage</w:t>
      </w:r>
      <w:r w:rsidRPr="00D51965">
        <w:rPr>
          <w:u w:val="none"/>
        </w:rPr>
        <w:t>;</w:t>
      </w:r>
    </w:p>
    <w:p w:rsidR="00B22CC1" w:rsidRPr="00C43771" w:rsidRDefault="00425808" w:rsidP="00425808">
      <w:pPr>
        <w:pStyle w:val="COMParaDecision"/>
        <w:numPr>
          <w:ilvl w:val="0"/>
          <w:numId w:val="15"/>
        </w:numPr>
        <w:spacing w:before="0"/>
        <w:ind w:left="1134" w:hanging="567"/>
      </w:pPr>
      <w:r w:rsidRPr="002912E3">
        <w:t>Requests</w:t>
      </w:r>
      <w:r w:rsidRPr="002912E3">
        <w:rPr>
          <w:u w:val="none"/>
        </w:rPr>
        <w:t xml:space="preserve"> </w:t>
      </w:r>
      <w:r w:rsidR="002912E3">
        <w:rPr>
          <w:u w:val="none"/>
        </w:rPr>
        <w:t xml:space="preserve">that </w:t>
      </w:r>
      <w:r w:rsidRPr="002912E3">
        <w:rPr>
          <w:u w:val="none"/>
        </w:rPr>
        <w:t xml:space="preserve">the Secretariat, based on the discussions </w:t>
      </w:r>
      <w:r w:rsidR="004A71F4" w:rsidRPr="002912E3">
        <w:rPr>
          <w:u w:val="none"/>
        </w:rPr>
        <w:t xml:space="preserve">during </w:t>
      </w:r>
      <w:r w:rsidRPr="002912E3">
        <w:rPr>
          <w:u w:val="none"/>
        </w:rPr>
        <w:t>its present session, the Viet Nam experience</w:t>
      </w:r>
      <w:r w:rsidRPr="00C43771">
        <w:rPr>
          <w:u w:val="none"/>
        </w:rPr>
        <w:t xml:space="preserve"> at its next session and the conclusions of the </w:t>
      </w:r>
      <w:r w:rsidR="004A71F4" w:rsidRPr="00C43771">
        <w:rPr>
          <w:u w:val="none"/>
        </w:rPr>
        <w:t>open-</w:t>
      </w:r>
      <w:r w:rsidRPr="00C43771">
        <w:rPr>
          <w:u w:val="none"/>
        </w:rPr>
        <w:t xml:space="preserve">ended working group, propose a draft text of </w:t>
      </w:r>
      <w:r w:rsidR="004A71F4" w:rsidRPr="00C43771">
        <w:rPr>
          <w:u w:val="none"/>
        </w:rPr>
        <w:t xml:space="preserve">the </w:t>
      </w:r>
      <w:r w:rsidRPr="00C43771">
        <w:rPr>
          <w:u w:val="none"/>
          <w:lang w:val="en-US"/>
        </w:rPr>
        <w:t>amendments to the Operational Directives</w:t>
      </w:r>
      <w:r w:rsidRPr="00C43771">
        <w:rPr>
          <w:u w:val="none"/>
        </w:rPr>
        <w:t xml:space="preserve"> so that it can </w:t>
      </w:r>
      <w:r w:rsidRPr="00C43771">
        <w:rPr>
          <w:u w:val="none"/>
          <w:lang w:val="en-US"/>
        </w:rPr>
        <w:t>examine and submit these amendments</w:t>
      </w:r>
      <w:r w:rsidR="00212DFF" w:rsidRPr="00C43771">
        <w:rPr>
          <w:u w:val="none"/>
          <w:lang w:val="en-US"/>
        </w:rPr>
        <w:t xml:space="preserve"> to a</w:t>
      </w:r>
      <w:r w:rsidRPr="00C43771">
        <w:rPr>
          <w:u w:val="none"/>
          <w:lang w:val="en-US"/>
        </w:rPr>
        <w:t xml:space="preserve"> subsequent </w:t>
      </w:r>
      <w:r w:rsidR="00212DFF" w:rsidRPr="00C43771">
        <w:rPr>
          <w:u w:val="none"/>
          <w:lang w:val="en-US"/>
        </w:rPr>
        <w:t xml:space="preserve">session of the </w:t>
      </w:r>
      <w:r w:rsidRPr="00C43771">
        <w:rPr>
          <w:u w:val="none"/>
          <w:lang w:val="en-US"/>
        </w:rPr>
        <w:t>General Assembly.</w:t>
      </w:r>
    </w:p>
    <w:sectPr w:rsidR="00B22CC1" w:rsidRPr="00C43771" w:rsidSect="00655736">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542" w:rsidRDefault="00CB0542" w:rsidP="00655736">
      <w:r>
        <w:separator/>
      </w:r>
    </w:p>
  </w:endnote>
  <w:endnote w:type="continuationSeparator" w:id="0">
    <w:p w:rsidR="00CB0542" w:rsidRDefault="00CB054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542" w:rsidRDefault="00CB0542" w:rsidP="00655736">
      <w:r>
        <w:separator/>
      </w:r>
    </w:p>
  </w:footnote>
  <w:footnote w:type="continuationSeparator" w:id="0">
    <w:p w:rsidR="00CB0542" w:rsidRDefault="00CB054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C23A97" w:rsidRDefault="00CB0542" w:rsidP="003C27AB">
    <w:pPr>
      <w:pStyle w:val="Header"/>
      <w:ind w:left="0"/>
      <w:rPr>
        <w:rFonts w:ascii="Arial" w:hAnsi="Arial" w:cs="Arial"/>
        <w:lang w:val="en-GB"/>
      </w:rPr>
    </w:pPr>
    <w:r>
      <w:rPr>
        <w:rFonts w:ascii="Arial" w:hAnsi="Arial" w:cs="Arial"/>
        <w:sz w:val="20"/>
        <w:szCs w:val="20"/>
        <w:lang w:val="en-GB"/>
      </w:rPr>
      <w:t>ITH/16/11</w:t>
    </w:r>
    <w:r w:rsidR="00EC6F8D">
      <w:rPr>
        <w:rFonts w:ascii="Arial" w:hAnsi="Arial" w:cs="Arial"/>
        <w:sz w:val="20"/>
        <w:szCs w:val="20"/>
        <w:lang w:val="en-GB"/>
      </w:rPr>
      <w:t>.COM</w:t>
    </w:r>
    <w:r w:rsidR="00D95C4C" w:rsidRPr="00C23A97">
      <w:rPr>
        <w:rFonts w:ascii="Arial" w:hAnsi="Arial" w:cs="Arial"/>
        <w:sz w:val="20"/>
        <w:szCs w:val="20"/>
        <w:lang w:val="en-GB"/>
      </w:rPr>
      <w:t>/</w:t>
    </w:r>
    <w:r w:rsidR="00C0741C">
      <w:rPr>
        <w:rFonts w:ascii="Arial" w:hAnsi="Arial" w:cs="Arial"/>
        <w:sz w:val="20"/>
        <w:szCs w:val="20"/>
        <w:lang w:val="en-GB"/>
      </w:rPr>
      <w:t>13</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A03B0B">
      <w:rPr>
        <w:rStyle w:val="PageNumber"/>
        <w:rFonts w:ascii="Arial" w:hAnsi="Arial" w:cs="Arial"/>
        <w:noProof/>
        <w:sz w:val="20"/>
        <w:szCs w:val="20"/>
        <w:lang w:val="en-GB"/>
      </w:rPr>
      <w:t>4</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63300C" w:rsidRDefault="0039561C" w:rsidP="0063300C">
    <w:pPr>
      <w:pStyle w:val="Header"/>
      <w:jc w:val="right"/>
      <w:rPr>
        <w:rFonts w:ascii="Arial" w:hAnsi="Arial" w:cs="Arial"/>
        <w:lang w:val="en-GB"/>
      </w:rPr>
    </w:pPr>
    <w:r>
      <w:rPr>
        <w:rFonts w:ascii="Arial" w:hAnsi="Arial" w:cs="Arial"/>
        <w:sz w:val="20"/>
        <w:szCs w:val="20"/>
        <w:lang w:val="en-GB"/>
      </w:rPr>
      <w:t>ITH/16</w:t>
    </w:r>
    <w:r w:rsidR="00D8250F">
      <w:rPr>
        <w:rFonts w:ascii="Arial" w:hAnsi="Arial" w:cs="Arial"/>
        <w:sz w:val="20"/>
        <w:szCs w:val="20"/>
        <w:lang w:val="en-GB"/>
      </w:rPr>
      <w:t>/1</w:t>
    </w:r>
    <w:r>
      <w:rPr>
        <w:rFonts w:ascii="Arial" w:hAnsi="Arial" w:cs="Arial"/>
        <w:sz w:val="20"/>
        <w:szCs w:val="20"/>
        <w:lang w:val="en-GB"/>
      </w:rPr>
      <w:t>1</w:t>
    </w:r>
    <w:r w:rsidR="00EC6F8D">
      <w:rPr>
        <w:rFonts w:ascii="Arial" w:hAnsi="Arial" w:cs="Arial"/>
        <w:sz w:val="20"/>
        <w:szCs w:val="20"/>
        <w:lang w:val="en-GB"/>
      </w:rPr>
      <w:t>.COM</w:t>
    </w:r>
    <w:r w:rsidR="004A34A0" w:rsidRPr="0063300C">
      <w:rPr>
        <w:rFonts w:ascii="Arial" w:hAnsi="Arial" w:cs="Arial"/>
        <w:sz w:val="20"/>
        <w:szCs w:val="20"/>
        <w:lang w:val="en-GB"/>
      </w:rPr>
      <w:t>/</w:t>
    </w:r>
    <w:r>
      <w:rPr>
        <w:rFonts w:ascii="Arial" w:hAnsi="Arial" w:cs="Arial"/>
        <w:sz w:val="20"/>
        <w:szCs w:val="20"/>
        <w:lang w:val="en-GB"/>
      </w:rPr>
      <w:t>13</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A03B0B">
      <w:rPr>
        <w:rStyle w:val="PageNumber"/>
        <w:rFonts w:ascii="Arial" w:hAnsi="Arial" w:cs="Arial"/>
        <w:noProof/>
        <w:sz w:val="20"/>
        <w:szCs w:val="20"/>
        <w:lang w:val="en-GB"/>
      </w:rPr>
      <w:t>5</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D88" w:rsidRPr="00785D88" w:rsidRDefault="00785D88" w:rsidP="00785D88">
    <w:pPr>
      <w:tabs>
        <w:tab w:val="center" w:pos="4536"/>
        <w:tab w:val="right" w:pos="9072"/>
      </w:tabs>
      <w:spacing w:before="0" w:after="0"/>
      <w:ind w:left="0"/>
      <w:jc w:val="left"/>
      <w:rPr>
        <w:lang w:val="en-GB"/>
      </w:rPr>
    </w:pPr>
    <w:r w:rsidRPr="00785D88">
      <w:rPr>
        <w:noProof/>
      </w:rPr>
      <w:drawing>
        <wp:anchor distT="0" distB="0" distL="114300" distR="114300" simplePos="0" relativeHeight="251659264" behindDoc="0" locked="0" layoutInCell="1" allowOverlap="1" wp14:anchorId="5FED93E7" wp14:editId="384FE38E">
          <wp:simplePos x="0" y="0"/>
          <wp:positionH relativeFrom="column">
            <wp:posOffset>-567690</wp:posOffset>
          </wp:positionH>
          <wp:positionV relativeFrom="paragraph">
            <wp:posOffset>3810</wp:posOffset>
          </wp:positionV>
          <wp:extent cx="2228215" cy="1367790"/>
          <wp:effectExtent l="0" t="0" r="635" b="3810"/>
          <wp:wrapNone/>
          <wp:docPr id="2"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D88" w:rsidRPr="00785D88" w:rsidRDefault="00785D88" w:rsidP="00785D88">
    <w:pPr>
      <w:tabs>
        <w:tab w:val="center" w:pos="4536"/>
        <w:tab w:val="right" w:pos="9072"/>
      </w:tabs>
      <w:spacing w:before="0" w:after="520"/>
      <w:ind w:left="0"/>
      <w:jc w:val="right"/>
      <w:rPr>
        <w:rFonts w:ascii="Arial" w:hAnsi="Arial" w:cs="Arial"/>
        <w:b/>
        <w:sz w:val="44"/>
        <w:szCs w:val="44"/>
        <w:lang w:val="en-GB"/>
      </w:rPr>
    </w:pPr>
    <w:r w:rsidRPr="00785D88">
      <w:rPr>
        <w:rFonts w:ascii="Arial" w:hAnsi="Arial" w:cs="Arial"/>
        <w:b/>
        <w:sz w:val="44"/>
        <w:szCs w:val="44"/>
        <w:lang w:val="en-GB"/>
      </w:rPr>
      <w:t>11 COM</w:t>
    </w:r>
  </w:p>
  <w:p w:rsidR="00785D88" w:rsidRPr="00785D88" w:rsidRDefault="00785D88" w:rsidP="00785D88">
    <w:pPr>
      <w:spacing w:before="0" w:after="0"/>
      <w:ind w:left="0"/>
      <w:jc w:val="right"/>
      <w:rPr>
        <w:rFonts w:ascii="Arial" w:eastAsia="Malgun Gothic" w:hAnsi="Arial" w:cs="Arial"/>
        <w:b/>
        <w:sz w:val="22"/>
        <w:szCs w:val="22"/>
        <w:lang w:val="en-GB" w:eastAsia="ko-KR"/>
      </w:rPr>
    </w:pPr>
    <w:r w:rsidRPr="00785D88">
      <w:rPr>
        <w:rFonts w:ascii="Arial" w:hAnsi="Arial" w:cs="Arial"/>
        <w:b/>
        <w:sz w:val="22"/>
        <w:szCs w:val="22"/>
        <w:lang w:val="en-GB"/>
      </w:rPr>
      <w:t>ITH/16/11.COM/</w:t>
    </w:r>
    <w:r>
      <w:rPr>
        <w:rFonts w:ascii="Arial" w:eastAsia="Malgun Gothic" w:hAnsi="Arial" w:cs="Arial" w:hint="eastAsia"/>
        <w:b/>
        <w:sz w:val="22"/>
        <w:szCs w:val="22"/>
        <w:lang w:val="en-GB" w:eastAsia="ko-KR"/>
      </w:rPr>
      <w:t>13</w:t>
    </w:r>
  </w:p>
  <w:p w:rsidR="00785D88" w:rsidRPr="00785D88" w:rsidRDefault="00785D88" w:rsidP="00785D88">
    <w:pPr>
      <w:spacing w:before="0" w:after="0"/>
      <w:ind w:left="0"/>
      <w:jc w:val="right"/>
      <w:rPr>
        <w:rFonts w:ascii="Arial" w:hAnsi="Arial" w:cs="Arial"/>
        <w:b/>
        <w:sz w:val="22"/>
        <w:szCs w:val="22"/>
        <w:lang w:val="en-GB"/>
      </w:rPr>
    </w:pPr>
    <w:r w:rsidRPr="00785D88">
      <w:rPr>
        <w:rFonts w:ascii="Arial" w:hAnsi="Arial" w:cs="Arial"/>
        <w:b/>
        <w:sz w:val="22"/>
        <w:szCs w:val="22"/>
        <w:lang w:val="en-GB"/>
      </w:rPr>
      <w:t xml:space="preserve">Paris, </w:t>
    </w:r>
    <w:r>
      <w:rPr>
        <w:rFonts w:ascii="Arial" w:eastAsia="Malgun Gothic" w:hAnsi="Arial" w:cs="Arial" w:hint="eastAsia"/>
        <w:b/>
        <w:sz w:val="22"/>
        <w:szCs w:val="22"/>
        <w:lang w:val="en-GB" w:eastAsia="ko-KR"/>
      </w:rPr>
      <w:t>31 October</w:t>
    </w:r>
    <w:r w:rsidRPr="00785D88">
      <w:rPr>
        <w:rFonts w:ascii="Arial" w:hAnsi="Arial" w:cs="Arial"/>
        <w:b/>
        <w:sz w:val="22"/>
        <w:szCs w:val="22"/>
        <w:lang w:val="en-GB"/>
      </w:rPr>
      <w:t xml:space="preserve"> 2016</w:t>
    </w:r>
  </w:p>
  <w:p w:rsidR="00D95C4C" w:rsidRPr="00785D88" w:rsidRDefault="00785D88" w:rsidP="00785D88">
    <w:pPr>
      <w:spacing w:before="0" w:after="0"/>
      <w:ind w:left="0"/>
      <w:jc w:val="right"/>
      <w:rPr>
        <w:rFonts w:ascii="Arial" w:eastAsia="Malgun Gothic" w:hAnsi="Arial" w:cs="Arial"/>
        <w:b/>
        <w:sz w:val="22"/>
        <w:szCs w:val="22"/>
        <w:lang w:val="en-GB" w:eastAsia="ko-KR"/>
      </w:rPr>
    </w:pPr>
    <w:r w:rsidRPr="00785D88">
      <w:rPr>
        <w:rFonts w:ascii="Arial" w:hAnsi="Arial" w:cs="Arial"/>
        <w:b/>
        <w:sz w:val="22"/>
        <w:szCs w:val="22"/>
        <w:lang w:val="en-GB"/>
      </w:rPr>
      <w:t xml:space="preserve">Original: </w:t>
    </w:r>
    <w:r>
      <w:rPr>
        <w:rFonts w:ascii="Arial" w:eastAsia="Malgun Gothic" w:hAnsi="Arial" w:cs="Arial" w:hint="eastAsia"/>
        <w:b/>
        <w:sz w:val="22"/>
        <w:szCs w:val="22"/>
        <w:lang w:val="en-GB" w:eastAsia="ko-KR"/>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3EF064"/>
    <w:lvl w:ilvl="0" w:tplc="CE52B512">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1"/>
  </w:num>
  <w:num w:numId="5">
    <w:abstractNumId w:val="10"/>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3"/>
  </w:num>
  <w:num w:numId="14">
    <w:abstractNumId w:val="3"/>
  </w:num>
  <w:num w:numId="15">
    <w:abstractNumId w:val="5"/>
    <w:lvlOverride w:ilvl="0">
      <w:startOverride w:val="1"/>
    </w:lvlOverride>
  </w:num>
  <w:num w:numId="16">
    <w:abstractNumId w:val="3"/>
  </w:num>
  <w:num w:numId="17">
    <w:abstractNumId w:val="3"/>
  </w:num>
  <w:num w:numId="18">
    <w:abstractNumId w:val="3"/>
  </w:num>
  <w:num w:numId="19">
    <w:abstractNumId w:val="3"/>
    <w:lvlOverride w:ilvl="0">
      <w:startOverride w:val="1"/>
    </w:lvlOverride>
  </w:num>
  <w:num w:numId="20">
    <w:abstractNumId w:val="3"/>
    <w:lvlOverride w:ilvl="0">
      <w:startOverride w:val="1"/>
    </w:lvlOverride>
  </w:num>
  <w:num w:numId="21">
    <w:abstractNumId w:val="3"/>
  </w:num>
  <w:num w:numId="22">
    <w:abstractNumId w:val="3"/>
    <w:lvlOverride w:ilvl="0">
      <w:startOverride w:val="1"/>
    </w:lvlOverride>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0C1F"/>
    <w:rsid w:val="00001C77"/>
    <w:rsid w:val="000048ED"/>
    <w:rsid w:val="00004C21"/>
    <w:rsid w:val="0002005E"/>
    <w:rsid w:val="00033203"/>
    <w:rsid w:val="00033EB4"/>
    <w:rsid w:val="00036E22"/>
    <w:rsid w:val="00041A66"/>
    <w:rsid w:val="00051645"/>
    <w:rsid w:val="0005176E"/>
    <w:rsid w:val="000765F7"/>
    <w:rsid w:val="00077AB7"/>
    <w:rsid w:val="00077C25"/>
    <w:rsid w:val="00081CD8"/>
    <w:rsid w:val="00082B77"/>
    <w:rsid w:val="000A134A"/>
    <w:rsid w:val="000A2FB9"/>
    <w:rsid w:val="000A7F0E"/>
    <w:rsid w:val="000B1C8F"/>
    <w:rsid w:val="000C0D61"/>
    <w:rsid w:val="000D21FC"/>
    <w:rsid w:val="000D3F4E"/>
    <w:rsid w:val="000F01C1"/>
    <w:rsid w:val="000F3A3F"/>
    <w:rsid w:val="001020EF"/>
    <w:rsid w:val="00102557"/>
    <w:rsid w:val="001071C7"/>
    <w:rsid w:val="001166D5"/>
    <w:rsid w:val="001605FC"/>
    <w:rsid w:val="00164D56"/>
    <w:rsid w:val="00167B10"/>
    <w:rsid w:val="0017402F"/>
    <w:rsid w:val="001857AB"/>
    <w:rsid w:val="001859B5"/>
    <w:rsid w:val="00196C1B"/>
    <w:rsid w:val="001B0F73"/>
    <w:rsid w:val="001C2DB7"/>
    <w:rsid w:val="001D5C04"/>
    <w:rsid w:val="001D78CC"/>
    <w:rsid w:val="001E0808"/>
    <w:rsid w:val="001E5E44"/>
    <w:rsid w:val="001F2D4C"/>
    <w:rsid w:val="001F6CBA"/>
    <w:rsid w:val="002114D1"/>
    <w:rsid w:val="00212DFF"/>
    <w:rsid w:val="00222A2D"/>
    <w:rsid w:val="00223029"/>
    <w:rsid w:val="00224D54"/>
    <w:rsid w:val="00234745"/>
    <w:rsid w:val="002407AF"/>
    <w:rsid w:val="00264440"/>
    <w:rsid w:val="0027466B"/>
    <w:rsid w:val="00274757"/>
    <w:rsid w:val="00274ACA"/>
    <w:rsid w:val="00280552"/>
    <w:rsid w:val="002838A5"/>
    <w:rsid w:val="00284EFE"/>
    <w:rsid w:val="00285BB4"/>
    <w:rsid w:val="002912E3"/>
    <w:rsid w:val="0029392E"/>
    <w:rsid w:val="00294B7C"/>
    <w:rsid w:val="00295F9F"/>
    <w:rsid w:val="00296703"/>
    <w:rsid w:val="00297EDB"/>
    <w:rsid w:val="002B1869"/>
    <w:rsid w:val="002B3A7C"/>
    <w:rsid w:val="002C09E3"/>
    <w:rsid w:val="002F6B66"/>
    <w:rsid w:val="00301539"/>
    <w:rsid w:val="00302B58"/>
    <w:rsid w:val="0031649E"/>
    <w:rsid w:val="00317F72"/>
    <w:rsid w:val="003201CA"/>
    <w:rsid w:val="00320DEE"/>
    <w:rsid w:val="00344B58"/>
    <w:rsid w:val="00345CB4"/>
    <w:rsid w:val="00353EDE"/>
    <w:rsid w:val="003576CB"/>
    <w:rsid w:val="003632EB"/>
    <w:rsid w:val="00367A78"/>
    <w:rsid w:val="00371F53"/>
    <w:rsid w:val="00375D42"/>
    <w:rsid w:val="0039561C"/>
    <w:rsid w:val="00395E23"/>
    <w:rsid w:val="003A0AFD"/>
    <w:rsid w:val="003C27AB"/>
    <w:rsid w:val="003C2D3D"/>
    <w:rsid w:val="003C56DC"/>
    <w:rsid w:val="003D069C"/>
    <w:rsid w:val="003D424A"/>
    <w:rsid w:val="003D7646"/>
    <w:rsid w:val="003F113A"/>
    <w:rsid w:val="003F3E63"/>
    <w:rsid w:val="00404D0D"/>
    <w:rsid w:val="00407480"/>
    <w:rsid w:val="00407FDB"/>
    <w:rsid w:val="00414643"/>
    <w:rsid w:val="00425808"/>
    <w:rsid w:val="004421E5"/>
    <w:rsid w:val="00452284"/>
    <w:rsid w:val="00457C8E"/>
    <w:rsid w:val="00467101"/>
    <w:rsid w:val="00475384"/>
    <w:rsid w:val="004856CA"/>
    <w:rsid w:val="00487E67"/>
    <w:rsid w:val="00492ADC"/>
    <w:rsid w:val="0049705E"/>
    <w:rsid w:val="004A34A0"/>
    <w:rsid w:val="004A71F4"/>
    <w:rsid w:val="004B452E"/>
    <w:rsid w:val="004E680E"/>
    <w:rsid w:val="005008A8"/>
    <w:rsid w:val="005208BC"/>
    <w:rsid w:val="005233AE"/>
    <w:rsid w:val="00526B7B"/>
    <w:rsid w:val="005308CE"/>
    <w:rsid w:val="005327F7"/>
    <w:rsid w:val="00565A11"/>
    <w:rsid w:val="00567FC5"/>
    <w:rsid w:val="0057439C"/>
    <w:rsid w:val="005749EC"/>
    <w:rsid w:val="00584A5A"/>
    <w:rsid w:val="00585018"/>
    <w:rsid w:val="00590306"/>
    <w:rsid w:val="005A6BA8"/>
    <w:rsid w:val="005B0127"/>
    <w:rsid w:val="005B7A35"/>
    <w:rsid w:val="005C0CF1"/>
    <w:rsid w:val="005C4B73"/>
    <w:rsid w:val="005C5663"/>
    <w:rsid w:val="005E1D2B"/>
    <w:rsid w:val="005E7074"/>
    <w:rsid w:val="005F2BAF"/>
    <w:rsid w:val="005F3337"/>
    <w:rsid w:val="005F347B"/>
    <w:rsid w:val="00600D93"/>
    <w:rsid w:val="006068DC"/>
    <w:rsid w:val="00616FEC"/>
    <w:rsid w:val="0063247C"/>
    <w:rsid w:val="0063300C"/>
    <w:rsid w:val="006350B7"/>
    <w:rsid w:val="0064352D"/>
    <w:rsid w:val="00652460"/>
    <w:rsid w:val="00652B4E"/>
    <w:rsid w:val="00655736"/>
    <w:rsid w:val="00660247"/>
    <w:rsid w:val="0066230C"/>
    <w:rsid w:val="00663B8D"/>
    <w:rsid w:val="00696C8D"/>
    <w:rsid w:val="006A2AC2"/>
    <w:rsid w:val="006A3617"/>
    <w:rsid w:val="006C0D4B"/>
    <w:rsid w:val="006D1E36"/>
    <w:rsid w:val="006D4B90"/>
    <w:rsid w:val="006D6E97"/>
    <w:rsid w:val="006E46E4"/>
    <w:rsid w:val="006F1BE0"/>
    <w:rsid w:val="006F4750"/>
    <w:rsid w:val="00710B9A"/>
    <w:rsid w:val="00715919"/>
    <w:rsid w:val="00717196"/>
    <w:rsid w:val="00717DA5"/>
    <w:rsid w:val="007440BA"/>
    <w:rsid w:val="00744484"/>
    <w:rsid w:val="00747566"/>
    <w:rsid w:val="00773188"/>
    <w:rsid w:val="00783782"/>
    <w:rsid w:val="00784B8C"/>
    <w:rsid w:val="00785D88"/>
    <w:rsid w:val="007879E1"/>
    <w:rsid w:val="007954C3"/>
    <w:rsid w:val="007955CD"/>
    <w:rsid w:val="00797D1B"/>
    <w:rsid w:val="007A6010"/>
    <w:rsid w:val="007B1EBA"/>
    <w:rsid w:val="007B7D8E"/>
    <w:rsid w:val="007D3577"/>
    <w:rsid w:val="007F71CE"/>
    <w:rsid w:val="00800776"/>
    <w:rsid w:val="008020BE"/>
    <w:rsid w:val="008106C1"/>
    <w:rsid w:val="00813DC9"/>
    <w:rsid w:val="008220FD"/>
    <w:rsid w:val="00823A11"/>
    <w:rsid w:val="008501D5"/>
    <w:rsid w:val="008537E4"/>
    <w:rsid w:val="0085405E"/>
    <w:rsid w:val="0085414A"/>
    <w:rsid w:val="0086269D"/>
    <w:rsid w:val="0086543A"/>
    <w:rsid w:val="008724E5"/>
    <w:rsid w:val="00884A9D"/>
    <w:rsid w:val="0088512B"/>
    <w:rsid w:val="00891C19"/>
    <w:rsid w:val="008A2B2D"/>
    <w:rsid w:val="008A4E1E"/>
    <w:rsid w:val="008B6B9F"/>
    <w:rsid w:val="008C0361"/>
    <w:rsid w:val="008C296C"/>
    <w:rsid w:val="008D1BA5"/>
    <w:rsid w:val="008D33F6"/>
    <w:rsid w:val="008D4305"/>
    <w:rsid w:val="008E1A85"/>
    <w:rsid w:val="008F467F"/>
    <w:rsid w:val="009163A7"/>
    <w:rsid w:val="009225D1"/>
    <w:rsid w:val="00946D0B"/>
    <w:rsid w:val="00955877"/>
    <w:rsid w:val="00956BC5"/>
    <w:rsid w:val="0095748A"/>
    <w:rsid w:val="00981C3B"/>
    <w:rsid w:val="009A18CD"/>
    <w:rsid w:val="009A5ADC"/>
    <w:rsid w:val="009C78D8"/>
    <w:rsid w:val="009D5428"/>
    <w:rsid w:val="009E2418"/>
    <w:rsid w:val="009F02A6"/>
    <w:rsid w:val="009F1A93"/>
    <w:rsid w:val="009F3A25"/>
    <w:rsid w:val="00A03B0B"/>
    <w:rsid w:val="00A12558"/>
    <w:rsid w:val="00A13903"/>
    <w:rsid w:val="00A170CD"/>
    <w:rsid w:val="00A211AF"/>
    <w:rsid w:val="00A34ED5"/>
    <w:rsid w:val="00A40F2D"/>
    <w:rsid w:val="00A4339D"/>
    <w:rsid w:val="00A45DBF"/>
    <w:rsid w:val="00A54AC9"/>
    <w:rsid w:val="00A57CC9"/>
    <w:rsid w:val="00A6526E"/>
    <w:rsid w:val="00A67400"/>
    <w:rsid w:val="00A755A2"/>
    <w:rsid w:val="00A826E4"/>
    <w:rsid w:val="00AA6660"/>
    <w:rsid w:val="00AB2C36"/>
    <w:rsid w:val="00AB6154"/>
    <w:rsid w:val="00AB6DDE"/>
    <w:rsid w:val="00AB70B6"/>
    <w:rsid w:val="00AD1A86"/>
    <w:rsid w:val="00AD2866"/>
    <w:rsid w:val="00AE103E"/>
    <w:rsid w:val="00AF0A07"/>
    <w:rsid w:val="00AF2597"/>
    <w:rsid w:val="00AF4AEC"/>
    <w:rsid w:val="00AF625E"/>
    <w:rsid w:val="00B024DA"/>
    <w:rsid w:val="00B11552"/>
    <w:rsid w:val="00B11ABF"/>
    <w:rsid w:val="00B1584B"/>
    <w:rsid w:val="00B22CC1"/>
    <w:rsid w:val="00B30487"/>
    <w:rsid w:val="00BB04AF"/>
    <w:rsid w:val="00BC37F4"/>
    <w:rsid w:val="00BD52C9"/>
    <w:rsid w:val="00BE3349"/>
    <w:rsid w:val="00BE6354"/>
    <w:rsid w:val="00BE7842"/>
    <w:rsid w:val="00BF66A3"/>
    <w:rsid w:val="00BF6998"/>
    <w:rsid w:val="00C0584B"/>
    <w:rsid w:val="00C0741C"/>
    <w:rsid w:val="00C138D1"/>
    <w:rsid w:val="00C15EAB"/>
    <w:rsid w:val="00C15F92"/>
    <w:rsid w:val="00C22C10"/>
    <w:rsid w:val="00C23A97"/>
    <w:rsid w:val="00C30033"/>
    <w:rsid w:val="00C43771"/>
    <w:rsid w:val="00C64855"/>
    <w:rsid w:val="00C70EA7"/>
    <w:rsid w:val="00C7516E"/>
    <w:rsid w:val="00C75770"/>
    <w:rsid w:val="00C95A7F"/>
    <w:rsid w:val="00CA56BB"/>
    <w:rsid w:val="00CA7E96"/>
    <w:rsid w:val="00CB0542"/>
    <w:rsid w:val="00CB2A1A"/>
    <w:rsid w:val="00CB7CC9"/>
    <w:rsid w:val="00CD5750"/>
    <w:rsid w:val="00CD6D23"/>
    <w:rsid w:val="00D00B2B"/>
    <w:rsid w:val="00D0323E"/>
    <w:rsid w:val="00D24877"/>
    <w:rsid w:val="00D3142E"/>
    <w:rsid w:val="00D314ED"/>
    <w:rsid w:val="00D3764E"/>
    <w:rsid w:val="00D42C59"/>
    <w:rsid w:val="00D4523F"/>
    <w:rsid w:val="00D51965"/>
    <w:rsid w:val="00D5662B"/>
    <w:rsid w:val="00D7381B"/>
    <w:rsid w:val="00D7398E"/>
    <w:rsid w:val="00D80C0E"/>
    <w:rsid w:val="00D8250F"/>
    <w:rsid w:val="00D87825"/>
    <w:rsid w:val="00D91522"/>
    <w:rsid w:val="00D95C4C"/>
    <w:rsid w:val="00DA06A4"/>
    <w:rsid w:val="00DA36ED"/>
    <w:rsid w:val="00DB0310"/>
    <w:rsid w:val="00DC437F"/>
    <w:rsid w:val="00DC5D22"/>
    <w:rsid w:val="00DE34F1"/>
    <w:rsid w:val="00DE5295"/>
    <w:rsid w:val="00DE6160"/>
    <w:rsid w:val="00DE74BC"/>
    <w:rsid w:val="00DF1801"/>
    <w:rsid w:val="00DF4942"/>
    <w:rsid w:val="00E00A39"/>
    <w:rsid w:val="00E244E1"/>
    <w:rsid w:val="00E32312"/>
    <w:rsid w:val="00E357AF"/>
    <w:rsid w:val="00E37AF9"/>
    <w:rsid w:val="00E627B1"/>
    <w:rsid w:val="00E6789A"/>
    <w:rsid w:val="00E70169"/>
    <w:rsid w:val="00E9376C"/>
    <w:rsid w:val="00E941FA"/>
    <w:rsid w:val="00E964B3"/>
    <w:rsid w:val="00EA10C5"/>
    <w:rsid w:val="00EA335E"/>
    <w:rsid w:val="00EA528C"/>
    <w:rsid w:val="00EA580C"/>
    <w:rsid w:val="00EB669A"/>
    <w:rsid w:val="00EC223B"/>
    <w:rsid w:val="00EC6F8D"/>
    <w:rsid w:val="00ED7D0C"/>
    <w:rsid w:val="00EE178D"/>
    <w:rsid w:val="00EF34E2"/>
    <w:rsid w:val="00F01E16"/>
    <w:rsid w:val="00F0693B"/>
    <w:rsid w:val="00F24003"/>
    <w:rsid w:val="00F30DC6"/>
    <w:rsid w:val="00F32C23"/>
    <w:rsid w:val="00F41F56"/>
    <w:rsid w:val="00F47A07"/>
    <w:rsid w:val="00F53DE9"/>
    <w:rsid w:val="00F576CB"/>
    <w:rsid w:val="00F7035D"/>
    <w:rsid w:val="00F71A02"/>
    <w:rsid w:val="00FA02FF"/>
    <w:rsid w:val="00FA0D63"/>
    <w:rsid w:val="00FA567E"/>
    <w:rsid w:val="00FB7134"/>
    <w:rsid w:val="00FD1226"/>
    <w:rsid w:val="00FD20BF"/>
    <w:rsid w:val="00FF4830"/>
    <w:rsid w:val="00FF50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9DCFDE0E-7F48-4844-822D-99D73B57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pPr>
        <w:spacing w:before="240" w:after="120"/>
        <w:ind w:left="567"/>
        <w:jc w:val="both"/>
      </w:pPr>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pPr>
    <w:rPr>
      <w:rFonts w:ascii="Arial" w:hAnsi="Arial" w:cs="Arial"/>
      <w:b/>
      <w:sz w:val="22"/>
      <w:szCs w:val="22"/>
      <w:lang w:val="en-GB"/>
    </w:rPr>
  </w:style>
  <w:style w:type="paragraph" w:customStyle="1" w:styleId="COMPreambulaDecisions">
    <w:name w:val="COM Preambula Decisions"/>
    <w:basedOn w:val="Normal"/>
    <w:qFormat/>
    <w:rsid w:val="00041A66"/>
    <w:pPr>
      <w:keepNext/>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pPr>
    <w:rPr>
      <w:rFonts w:ascii="Arial" w:eastAsia="SimSun" w:hAnsi="Arial" w:cs="Arial"/>
      <w:sz w:val="22"/>
      <w:szCs w:val="22"/>
      <w:u w:val="single"/>
      <w:lang w:val="en-GB"/>
    </w:rPr>
  </w:style>
  <w:style w:type="character" w:styleId="Hyperlink">
    <w:name w:val="Hyperlink"/>
    <w:basedOn w:val="DefaultParagraphFont"/>
    <w:uiPriority w:val="99"/>
    <w:unhideWhenUsed/>
    <w:rsid w:val="008220FD"/>
    <w:rPr>
      <w:color w:val="0000FF" w:themeColor="hyperlink"/>
      <w:u w:val="single"/>
    </w:rPr>
  </w:style>
  <w:style w:type="character" w:styleId="FollowedHyperlink">
    <w:name w:val="FollowedHyperlink"/>
    <w:basedOn w:val="DefaultParagraphFont"/>
    <w:uiPriority w:val="99"/>
    <w:semiHidden/>
    <w:unhideWhenUsed/>
    <w:rsid w:val="001E5E44"/>
    <w:rPr>
      <w:color w:val="800080" w:themeColor="followedHyperlink"/>
      <w:u w:val="single"/>
    </w:rPr>
  </w:style>
  <w:style w:type="character" w:styleId="CommentReference">
    <w:name w:val="annotation reference"/>
    <w:basedOn w:val="DefaultParagraphFont"/>
    <w:uiPriority w:val="99"/>
    <w:semiHidden/>
    <w:unhideWhenUsed/>
    <w:rsid w:val="00AF2597"/>
    <w:rPr>
      <w:sz w:val="16"/>
      <w:szCs w:val="16"/>
    </w:rPr>
  </w:style>
  <w:style w:type="paragraph" w:styleId="CommentText">
    <w:name w:val="annotation text"/>
    <w:basedOn w:val="Normal"/>
    <w:link w:val="CommentTextChar"/>
    <w:uiPriority w:val="99"/>
    <w:semiHidden/>
    <w:unhideWhenUsed/>
    <w:rsid w:val="00AF2597"/>
    <w:rPr>
      <w:sz w:val="20"/>
      <w:szCs w:val="20"/>
    </w:rPr>
  </w:style>
  <w:style w:type="character" w:customStyle="1" w:styleId="CommentTextChar">
    <w:name w:val="Comment Text Char"/>
    <w:basedOn w:val="DefaultParagraphFont"/>
    <w:link w:val="CommentText"/>
    <w:uiPriority w:val="99"/>
    <w:semiHidden/>
    <w:rsid w:val="00AF259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F2597"/>
    <w:rPr>
      <w:b/>
      <w:bCs/>
    </w:rPr>
  </w:style>
  <w:style w:type="character" w:customStyle="1" w:styleId="CommentSubjectChar">
    <w:name w:val="Comment Subject Char"/>
    <w:basedOn w:val="CommentTextChar"/>
    <w:link w:val="CommentSubject"/>
    <w:uiPriority w:val="99"/>
    <w:semiHidden/>
    <w:rsid w:val="00AF2597"/>
    <w:rPr>
      <w:rFonts w:ascii="Times New Roman" w:eastAsia="Times New Roman" w:hAnsi="Times New Roman"/>
      <w:b/>
      <w:bCs/>
    </w:rPr>
  </w:style>
  <w:style w:type="paragraph" w:styleId="Revision">
    <w:name w:val="Revision"/>
    <w:hidden/>
    <w:uiPriority w:val="99"/>
    <w:semiHidden/>
    <w:rsid w:val="00296703"/>
    <w:pPr>
      <w:spacing w:before="0" w:after="0"/>
      <w:ind w:left="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en/Decisions/10.COM/19" TargetMode="External"/><Relationship Id="rId13" Type="http://schemas.openxmlformats.org/officeDocument/2006/relationships/hyperlink" Target="http://www.unesco.org/culture/ich/en/Decisions/10.COM/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sco.org/culture/ich/en/Decisions/10.COM/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en/Decisions/10.COM/1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nesco.org/culture/ich/en/Decisions/10.COM/19" TargetMode="External"/><Relationship Id="rId4" Type="http://schemas.openxmlformats.org/officeDocument/2006/relationships/settings" Target="settings.xml"/><Relationship Id="rId9" Type="http://schemas.openxmlformats.org/officeDocument/2006/relationships/hyperlink" Target="http://www.unesco.org/culture/ich/en/Decisions/10.COM/1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8CB3-F904-4CBE-8A79-F1BE1DEF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11</TotalTime>
  <Pages>5</Pages>
  <Words>2616</Words>
  <Characters>14393</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Constantinou, Elena</cp:lastModifiedBy>
  <cp:revision>8</cp:revision>
  <cp:lastPrinted>2016-10-12T16:15:00Z</cp:lastPrinted>
  <dcterms:created xsi:type="dcterms:W3CDTF">2016-10-28T14:20:00Z</dcterms:created>
  <dcterms:modified xsi:type="dcterms:W3CDTF">2016-10-31T09:52:00Z</dcterms:modified>
</cp:coreProperties>
</file>