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72918C5A" w:rsidR="00EC6F8D" w:rsidRPr="00BB6EEC" w:rsidRDefault="00EC6F8D" w:rsidP="009D0F56">
      <w:pPr>
        <w:spacing w:before="1440"/>
        <w:jc w:val="center"/>
        <w:rPr>
          <w:rFonts w:ascii="Arial" w:hAnsi="Arial" w:cs="Arial"/>
          <w:b/>
          <w:sz w:val="22"/>
          <w:szCs w:val="22"/>
        </w:rPr>
      </w:pPr>
      <w:r>
        <w:rPr>
          <w:rFonts w:ascii="Arial" w:hAnsi="Arial"/>
          <w:b/>
          <w:sz w:val="22"/>
        </w:rPr>
        <w:t>CONVENTION POUR LA SAUVEGARDE</w:t>
      </w:r>
      <w:r w:rsidR="009D0F56">
        <w:rPr>
          <w:rFonts w:ascii="Arial" w:hAnsi="Arial"/>
          <w:b/>
          <w:sz w:val="22"/>
        </w:rPr>
        <w:t xml:space="preserve"> </w:t>
      </w:r>
      <w:r w:rsidR="009D0F56">
        <w:rPr>
          <w:rFonts w:ascii="Arial" w:hAnsi="Arial"/>
          <w:b/>
          <w:sz w:val="22"/>
        </w:rPr>
        <w:br/>
      </w:r>
      <w:r>
        <w:rPr>
          <w:rFonts w:ascii="Arial" w:hAnsi="Arial"/>
          <w:b/>
          <w:sz w:val="22"/>
        </w:rPr>
        <w:t>DU PATRIMOINE CULTUREL IMMATÉRIEL</w:t>
      </w:r>
    </w:p>
    <w:p w14:paraId="3F72B1D3" w14:textId="37133200" w:rsidR="00EC6F8D" w:rsidRPr="00BB6EEC" w:rsidRDefault="005C792B" w:rsidP="00EC6F8D">
      <w:pPr>
        <w:spacing w:before="1200"/>
        <w:jc w:val="center"/>
        <w:rPr>
          <w:rFonts w:ascii="Arial" w:hAnsi="Arial" w:cs="Arial"/>
          <w:b/>
          <w:sz w:val="22"/>
          <w:szCs w:val="22"/>
        </w:rPr>
      </w:pPr>
      <w:r>
        <w:rPr>
          <w:rFonts w:ascii="Arial" w:hAnsi="Arial"/>
          <w:b/>
          <w:sz w:val="22"/>
        </w:rPr>
        <w:t>ASSEMBLÉE GÉNÉRALE DES ÉTATS PARTIES À LA CONVENTION</w:t>
      </w:r>
    </w:p>
    <w:p w14:paraId="2E1CD4B4" w14:textId="1F59B9D4" w:rsidR="00EC6F8D" w:rsidRPr="00BB6EEC" w:rsidRDefault="005C792B" w:rsidP="001D14FE">
      <w:pPr>
        <w:spacing w:before="840"/>
        <w:jc w:val="center"/>
        <w:rPr>
          <w:rFonts w:ascii="Arial" w:hAnsi="Arial" w:cs="Arial"/>
          <w:b/>
          <w:sz w:val="22"/>
          <w:szCs w:val="22"/>
        </w:rPr>
      </w:pPr>
      <w:r>
        <w:rPr>
          <w:rFonts w:ascii="Arial" w:hAnsi="Arial"/>
          <w:b/>
          <w:sz w:val="22"/>
        </w:rPr>
        <w:t>Dixième session</w:t>
      </w:r>
    </w:p>
    <w:p w14:paraId="1FD89575" w14:textId="0E7EF65F" w:rsidR="00B2172B" w:rsidRPr="00BB6EEC" w:rsidRDefault="005C792B" w:rsidP="00B2172B">
      <w:pPr>
        <w:jc w:val="center"/>
        <w:rPr>
          <w:rFonts w:ascii="Arial" w:hAnsi="Arial" w:cs="Arial"/>
          <w:b/>
          <w:sz w:val="22"/>
          <w:szCs w:val="22"/>
        </w:rPr>
      </w:pPr>
      <w:r>
        <w:rPr>
          <w:rFonts w:ascii="Arial" w:hAnsi="Arial"/>
          <w:b/>
          <w:sz w:val="22"/>
        </w:rPr>
        <w:t>Siège de l</w:t>
      </w:r>
      <w:r w:rsidR="000979F7">
        <w:rPr>
          <w:rFonts w:ascii="Arial" w:hAnsi="Arial"/>
          <w:b/>
          <w:sz w:val="22"/>
        </w:rPr>
        <w:t>’</w:t>
      </w:r>
      <w:r>
        <w:rPr>
          <w:rFonts w:ascii="Arial" w:hAnsi="Arial"/>
          <w:b/>
          <w:sz w:val="22"/>
        </w:rPr>
        <w:t xml:space="preserve">UNESCO, </w:t>
      </w:r>
      <w:r w:rsidR="005852EC">
        <w:rPr>
          <w:rFonts w:ascii="Arial" w:hAnsi="Arial"/>
          <w:b/>
          <w:sz w:val="22"/>
        </w:rPr>
        <w:t xml:space="preserve">Salle </w:t>
      </w:r>
      <w:r>
        <w:rPr>
          <w:rFonts w:ascii="Arial" w:hAnsi="Arial"/>
          <w:b/>
          <w:sz w:val="22"/>
        </w:rPr>
        <w:t>I</w:t>
      </w:r>
    </w:p>
    <w:p w14:paraId="18848080" w14:textId="1E6328AA" w:rsidR="00B964ED" w:rsidRPr="00F4581D" w:rsidRDefault="00B964ED" w:rsidP="00B964ED">
      <w:pPr>
        <w:jc w:val="center"/>
        <w:rPr>
          <w:rFonts w:ascii="Arial" w:hAnsi="Arial"/>
          <w:b/>
          <w:sz w:val="22"/>
        </w:rPr>
      </w:pPr>
      <w:r>
        <w:rPr>
          <w:rFonts w:ascii="Arial" w:hAnsi="Arial"/>
          <w:b/>
          <w:sz w:val="22"/>
        </w:rPr>
        <w:t>11</w:t>
      </w:r>
      <w:r w:rsidR="00130366">
        <w:rPr>
          <w:rFonts w:ascii="Arial" w:hAnsi="Arial"/>
          <w:b/>
          <w:sz w:val="22"/>
        </w:rPr>
        <w:t xml:space="preserve"> –</w:t>
      </w:r>
      <w:r w:rsidRPr="00F4581D">
        <w:rPr>
          <w:rFonts w:ascii="Arial" w:hAnsi="Arial"/>
          <w:b/>
          <w:sz w:val="22"/>
        </w:rPr>
        <w:t xml:space="preserve"> </w:t>
      </w:r>
      <w:r w:rsidR="005852EC">
        <w:rPr>
          <w:rFonts w:ascii="Arial" w:hAnsi="Arial"/>
          <w:b/>
          <w:sz w:val="22"/>
        </w:rPr>
        <w:t>12</w:t>
      </w:r>
      <w:r w:rsidR="00130366">
        <w:rPr>
          <w:rFonts w:ascii="Arial" w:hAnsi="Arial"/>
          <w:b/>
          <w:sz w:val="22"/>
        </w:rPr>
        <w:t xml:space="preserve"> </w:t>
      </w:r>
      <w:r>
        <w:rPr>
          <w:rFonts w:ascii="Arial" w:hAnsi="Arial"/>
          <w:b/>
          <w:sz w:val="22"/>
        </w:rPr>
        <w:t>juin</w:t>
      </w:r>
      <w:r w:rsidR="005852EC">
        <w:rPr>
          <w:rFonts w:ascii="Arial" w:hAnsi="Arial"/>
          <w:b/>
          <w:sz w:val="22"/>
        </w:rPr>
        <w:t xml:space="preserve"> </w:t>
      </w:r>
      <w:r w:rsidRPr="00F4581D">
        <w:rPr>
          <w:rFonts w:ascii="Arial" w:hAnsi="Arial"/>
          <w:b/>
          <w:sz w:val="22"/>
        </w:rPr>
        <w:t>202</w:t>
      </w:r>
      <w:r>
        <w:rPr>
          <w:rFonts w:ascii="Arial" w:hAnsi="Arial"/>
          <w:b/>
          <w:sz w:val="22"/>
        </w:rPr>
        <w:t>4</w:t>
      </w:r>
    </w:p>
    <w:p w14:paraId="0365203A" w14:textId="0A86162A" w:rsidR="00EC6F8D" w:rsidRPr="00BB6EEC" w:rsidRDefault="005852EC" w:rsidP="00EC6F8D">
      <w:pPr>
        <w:pStyle w:val="Sansinterligne2"/>
        <w:spacing w:before="1200"/>
        <w:jc w:val="center"/>
        <w:rPr>
          <w:rFonts w:ascii="Arial" w:hAnsi="Arial" w:cs="Arial"/>
          <w:b/>
          <w:sz w:val="22"/>
          <w:szCs w:val="22"/>
        </w:rPr>
      </w:pPr>
      <w:r>
        <w:rPr>
          <w:rFonts w:ascii="Arial" w:hAnsi="Arial"/>
          <w:b/>
          <w:sz w:val="22"/>
          <w:u w:val="single"/>
        </w:rPr>
        <w:t xml:space="preserve">Point </w:t>
      </w:r>
      <w:r w:rsidR="00EC6F8D">
        <w:rPr>
          <w:rFonts w:ascii="Arial" w:hAnsi="Arial"/>
          <w:b/>
          <w:sz w:val="22"/>
          <w:u w:val="single"/>
        </w:rPr>
        <w:t>10 de l</w:t>
      </w:r>
      <w:r w:rsidR="000979F7">
        <w:rPr>
          <w:rFonts w:ascii="Arial" w:hAnsi="Arial"/>
          <w:b/>
          <w:sz w:val="22"/>
          <w:u w:val="single"/>
        </w:rPr>
        <w:t>’</w:t>
      </w:r>
      <w:r w:rsidR="00EC6F8D">
        <w:rPr>
          <w:rFonts w:ascii="Arial" w:hAnsi="Arial"/>
          <w:b/>
          <w:sz w:val="22"/>
          <w:u w:val="single"/>
        </w:rPr>
        <w:t xml:space="preserve">ordre du jour </w:t>
      </w:r>
      <w:r>
        <w:rPr>
          <w:rFonts w:ascii="Arial" w:hAnsi="Arial"/>
          <w:b/>
          <w:sz w:val="22"/>
          <w:u w:val="single"/>
        </w:rPr>
        <w:t>provisoire</w:t>
      </w:r>
      <w:r w:rsidRPr="00905026">
        <w:rPr>
          <w:rFonts w:ascii="Arial" w:hAnsi="Arial"/>
          <w:b/>
          <w:sz w:val="22"/>
        </w:rPr>
        <w:t xml:space="preserve"> </w:t>
      </w:r>
      <w:r w:rsidR="00EC6F8D">
        <w:rPr>
          <w:rFonts w:ascii="Arial" w:hAnsi="Arial"/>
          <w:b/>
          <w:sz w:val="22"/>
        </w:rPr>
        <w:t>:</w:t>
      </w:r>
    </w:p>
    <w:p w14:paraId="59920478" w14:textId="77AD2855" w:rsidR="004A2875" w:rsidRPr="00BB6EEC" w:rsidRDefault="0074517B" w:rsidP="004A2875">
      <w:pPr>
        <w:pStyle w:val="Sansinterligne2"/>
        <w:spacing w:after="960"/>
        <w:jc w:val="center"/>
        <w:rPr>
          <w:rFonts w:ascii="Arial" w:hAnsi="Arial" w:cs="Arial"/>
          <w:bCs/>
          <w:sz w:val="22"/>
          <w:szCs w:val="22"/>
        </w:rPr>
      </w:pPr>
      <w:r>
        <w:rPr>
          <w:rFonts w:ascii="Arial" w:hAnsi="Arial"/>
          <w:b/>
          <w:sz w:val="22"/>
        </w:rPr>
        <w:t>Rapport sur le vingtième anniversaire de la Convention de 2003 en 2023</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74517B" w14:paraId="75AC6221" w14:textId="77777777" w:rsidTr="00EC6F8D">
        <w:trPr>
          <w:jc w:val="center"/>
        </w:trPr>
        <w:tc>
          <w:tcPr>
            <w:tcW w:w="5670" w:type="dxa"/>
            <w:vAlign w:val="center"/>
          </w:tcPr>
          <w:p w14:paraId="51C260A9" w14:textId="77777777" w:rsidR="00EC6F8D" w:rsidRPr="00BB6EEC" w:rsidRDefault="00EC6F8D" w:rsidP="00CA56BB">
            <w:pPr>
              <w:pStyle w:val="Sansinterligne1"/>
              <w:spacing w:before="200" w:after="200"/>
              <w:jc w:val="center"/>
              <w:rPr>
                <w:rFonts w:ascii="Arial" w:hAnsi="Arial" w:cs="Arial"/>
                <w:b/>
                <w:sz w:val="22"/>
                <w:szCs w:val="22"/>
              </w:rPr>
            </w:pPr>
            <w:r>
              <w:rPr>
                <w:rFonts w:ascii="Arial" w:hAnsi="Arial"/>
                <w:b/>
                <w:sz w:val="22"/>
              </w:rPr>
              <w:t>Résumé</w:t>
            </w:r>
          </w:p>
          <w:p w14:paraId="2A83DD17" w14:textId="07AF256D" w:rsidR="00B67733" w:rsidRPr="002166A6" w:rsidRDefault="005852EC" w:rsidP="00B67733">
            <w:pPr>
              <w:pStyle w:val="Sansinterligne1"/>
              <w:jc w:val="both"/>
              <w:rPr>
                <w:rFonts w:ascii="Arial" w:hAnsi="Arial" w:cs="Arial"/>
                <w:bCs/>
                <w:sz w:val="22"/>
                <w:szCs w:val="22"/>
              </w:rPr>
            </w:pPr>
            <w:r>
              <w:rPr>
                <w:rFonts w:ascii="Arial" w:hAnsi="Arial"/>
                <w:sz w:val="22"/>
              </w:rPr>
              <w:t xml:space="preserve">L’année </w:t>
            </w:r>
            <w:r w:rsidR="00B67733">
              <w:rPr>
                <w:rFonts w:ascii="Arial" w:hAnsi="Arial"/>
                <w:sz w:val="22"/>
              </w:rPr>
              <w:t xml:space="preserve">2023 </w:t>
            </w:r>
            <w:r>
              <w:rPr>
                <w:rFonts w:ascii="Arial" w:hAnsi="Arial"/>
                <w:sz w:val="22"/>
              </w:rPr>
              <w:t xml:space="preserve">marquait </w:t>
            </w:r>
            <w:r w:rsidR="00B67733">
              <w:rPr>
                <w:rFonts w:ascii="Arial" w:hAnsi="Arial"/>
                <w:sz w:val="22"/>
              </w:rPr>
              <w:t xml:space="preserve">le vingtième anniversaire de la Convention de 2003. Le présent document rend compte des principales activités et </w:t>
            </w:r>
            <w:r>
              <w:rPr>
                <w:rFonts w:ascii="Arial" w:hAnsi="Arial"/>
                <w:sz w:val="22"/>
              </w:rPr>
              <w:t xml:space="preserve">événements </w:t>
            </w:r>
            <w:r w:rsidR="00B67733">
              <w:rPr>
                <w:rFonts w:ascii="Arial" w:hAnsi="Arial"/>
                <w:sz w:val="22"/>
              </w:rPr>
              <w:t xml:space="preserve">organisés pour célébrer cet </w:t>
            </w:r>
            <w:r>
              <w:rPr>
                <w:rFonts w:ascii="Arial" w:hAnsi="Arial"/>
                <w:sz w:val="22"/>
              </w:rPr>
              <w:t>anniversaire</w:t>
            </w:r>
            <w:r w:rsidR="00B67733">
              <w:rPr>
                <w:rFonts w:ascii="Arial" w:hAnsi="Arial"/>
                <w:sz w:val="22"/>
              </w:rPr>
              <w:t>.</w:t>
            </w:r>
          </w:p>
          <w:p w14:paraId="290310E8" w14:textId="648ABBDC" w:rsidR="00EC6F8D" w:rsidRPr="00BB6EEC" w:rsidRDefault="00EC6F8D" w:rsidP="00CA56BB">
            <w:pPr>
              <w:pStyle w:val="Sansinterligne2"/>
              <w:spacing w:before="200" w:after="200"/>
              <w:jc w:val="both"/>
              <w:rPr>
                <w:rFonts w:ascii="Arial" w:hAnsi="Arial" w:cs="Arial"/>
                <w:b/>
                <w:sz w:val="22"/>
                <w:szCs w:val="22"/>
              </w:rPr>
            </w:pPr>
            <w:r>
              <w:rPr>
                <w:rFonts w:ascii="Arial" w:hAnsi="Arial"/>
                <w:b/>
                <w:sz w:val="22"/>
              </w:rPr>
              <w:t xml:space="preserve">Décision </w:t>
            </w:r>
            <w:r w:rsidR="005852EC">
              <w:rPr>
                <w:rFonts w:ascii="Arial" w:hAnsi="Arial"/>
                <w:b/>
                <w:sz w:val="22"/>
              </w:rPr>
              <w:t xml:space="preserve">requise </w:t>
            </w:r>
            <w:r>
              <w:rPr>
                <w:rFonts w:ascii="Arial" w:hAnsi="Arial"/>
                <w:b/>
                <w:sz w:val="22"/>
              </w:rPr>
              <w:t xml:space="preserve">: </w:t>
            </w:r>
            <w:r>
              <w:rPr>
                <w:rFonts w:ascii="Arial" w:hAnsi="Arial"/>
                <w:sz w:val="22"/>
              </w:rPr>
              <w:t>paragraphe</w:t>
            </w:r>
            <w:r w:rsidR="005852EC">
              <w:rPr>
                <w:rFonts w:ascii="Arial" w:hAnsi="Arial"/>
                <w:sz w:val="22"/>
              </w:rPr>
              <w:t xml:space="preserve"> </w:t>
            </w:r>
            <w:r>
              <w:rPr>
                <w:rFonts w:ascii="Arial" w:hAnsi="Arial"/>
                <w:sz w:val="22"/>
              </w:rPr>
              <w:t>12</w:t>
            </w:r>
          </w:p>
        </w:tc>
      </w:tr>
    </w:tbl>
    <w:p w14:paraId="713D819F" w14:textId="77777777" w:rsidR="004A2875" w:rsidRPr="00BB6EEC" w:rsidRDefault="00655736" w:rsidP="004A2875">
      <w:pPr>
        <w:pStyle w:val="Paragraphedeliste"/>
        <w:keepLines/>
        <w:numPr>
          <w:ilvl w:val="0"/>
          <w:numId w:val="13"/>
        </w:numPr>
        <w:spacing w:after="240"/>
        <w:ind w:left="567" w:hanging="567"/>
        <w:contextualSpacing w:val="0"/>
        <w:rPr>
          <w:rFonts w:ascii="Arial" w:hAnsi="Arial" w:cs="Arial"/>
          <w:b/>
          <w:snapToGrid w:val="0"/>
          <w:sz w:val="22"/>
          <w:szCs w:val="22"/>
        </w:rPr>
      </w:pPr>
      <w:r>
        <w:br w:type="page"/>
      </w:r>
    </w:p>
    <w:p w14:paraId="6C62585F" w14:textId="1FBD00B9" w:rsidR="00F70CC5" w:rsidRPr="00BB6EEC" w:rsidRDefault="00FD4BC8" w:rsidP="00F70CC5">
      <w:pPr>
        <w:pStyle w:val="COMPara"/>
        <w:numPr>
          <w:ilvl w:val="0"/>
          <w:numId w:val="0"/>
        </w:numPr>
        <w:spacing w:before="240"/>
        <w:jc w:val="both"/>
        <w:rPr>
          <w:b/>
          <w:bCs/>
        </w:rPr>
      </w:pPr>
      <w:bookmarkStart w:id="0" w:name="_Hlk124351255"/>
      <w:r>
        <w:rPr>
          <w:b/>
        </w:rPr>
        <w:lastRenderedPageBreak/>
        <w:t>Contexte</w:t>
      </w:r>
    </w:p>
    <w:bookmarkEnd w:id="0"/>
    <w:p w14:paraId="1127A551" w14:textId="4EC82BE0" w:rsidR="00B67733" w:rsidRPr="00FC502D" w:rsidRDefault="00B67733" w:rsidP="00B67733">
      <w:pPr>
        <w:pStyle w:val="COMPara"/>
        <w:ind w:left="567" w:hanging="567"/>
        <w:jc w:val="both"/>
      </w:pPr>
      <w:r>
        <w:t>L</w:t>
      </w:r>
      <w:r w:rsidR="000979F7">
        <w:t>’</w:t>
      </w:r>
      <w:r>
        <w:t>année</w:t>
      </w:r>
      <w:r w:rsidR="005852EC">
        <w:t xml:space="preserve"> </w:t>
      </w:r>
      <w:r>
        <w:t xml:space="preserve">2023 </w:t>
      </w:r>
      <w:r w:rsidR="005852EC">
        <w:t xml:space="preserve">marquait </w:t>
      </w:r>
      <w:r>
        <w:t>le vingtième anniversaire de la Convention</w:t>
      </w:r>
      <w:r w:rsidR="001C073E">
        <w:t>,</w:t>
      </w:r>
      <w:r w:rsidR="000979F7">
        <w:t xml:space="preserve"> qui a </w:t>
      </w:r>
      <w:r>
        <w:t>été adoptée lors de la trente-deuxième session de la Conférence générale de l</w:t>
      </w:r>
      <w:r w:rsidR="000979F7">
        <w:t>’</w:t>
      </w:r>
      <w:r>
        <w:t>UNESCO le 17</w:t>
      </w:r>
      <w:r w:rsidR="005852EC">
        <w:t xml:space="preserve"> </w:t>
      </w:r>
      <w:r>
        <w:t>octobre 2003. Au cours des vingt années de mise en œuvre, la Convention a considérablement élargi le concept de patrimoine culturel et a atteint l</w:t>
      </w:r>
      <w:r w:rsidR="000979F7">
        <w:t>’</w:t>
      </w:r>
      <w:r>
        <w:t xml:space="preserve">un de ses principaux </w:t>
      </w:r>
      <w:r w:rsidR="005852EC">
        <w:t xml:space="preserve">objectifs </w:t>
      </w:r>
      <w:r>
        <w:t>: sensibiliser le public à l</w:t>
      </w:r>
      <w:r w:rsidR="000979F7">
        <w:t>’</w:t>
      </w:r>
      <w:r>
        <w:t>importance de la sauvegarde du patrimoine culturel immatériel</w:t>
      </w:r>
      <w:r w:rsidR="00696E8F">
        <w:t xml:space="preserve"> en</w:t>
      </w:r>
      <w:r w:rsidR="002256D0">
        <w:t xml:space="preserve"> </w:t>
      </w:r>
      <w:r>
        <w:t>augment</w:t>
      </w:r>
      <w:r w:rsidR="00696E8F">
        <w:t>ant</w:t>
      </w:r>
      <w:r>
        <w:t xml:space="preserve"> sa visibilité à tous les niveaux</w:t>
      </w:r>
      <w:r w:rsidR="002256D0">
        <w:t xml:space="preserve"> et </w:t>
      </w:r>
      <w:r w:rsidR="00696E8F">
        <w:t xml:space="preserve">en </w:t>
      </w:r>
      <w:r>
        <w:t>pla</w:t>
      </w:r>
      <w:r w:rsidR="00696E8F">
        <w:t>çant</w:t>
      </w:r>
      <w:r>
        <w:t xml:space="preserve"> les communautés au cœur des efforts de sauvegarde. En outre, alors qu</w:t>
      </w:r>
      <w:r w:rsidR="000979F7">
        <w:t>’</w:t>
      </w:r>
      <w:r>
        <w:t>il y a vingt ans, seule une poignée de pays avaient intégré le patrimoine vivant dans leurs politiques, la Convention est aujourd</w:t>
      </w:r>
      <w:r w:rsidR="000979F7">
        <w:t>’</w:t>
      </w:r>
      <w:r>
        <w:t xml:space="preserve">hui devenue une référence </w:t>
      </w:r>
      <w:r w:rsidR="00936D4A">
        <w:t>clé dans</w:t>
      </w:r>
      <w:r>
        <w:t xml:space="preserve"> la </w:t>
      </w:r>
      <w:r w:rsidR="005852EC">
        <w:t xml:space="preserve">mise en place </w:t>
      </w:r>
      <w:r>
        <w:t>d</w:t>
      </w:r>
      <w:r w:rsidR="000979F7">
        <w:t>’</w:t>
      </w:r>
      <w:r>
        <w:t xml:space="preserve">institutions et la mise en œuvre de politiques publiques et de lois, comme </w:t>
      </w:r>
      <w:r w:rsidR="005852EC">
        <w:t>cela est mis e</w:t>
      </w:r>
      <w:r>
        <w:t xml:space="preserve">n </w:t>
      </w:r>
      <w:r w:rsidR="005852EC">
        <w:t xml:space="preserve">évidence dans </w:t>
      </w:r>
      <w:r>
        <w:t xml:space="preserve">les rapports périodiques. </w:t>
      </w:r>
      <w:r>
        <w:rPr>
          <w:color w:val="000000"/>
          <w:shd w:val="clear" w:color="auto" w:fill="FFFFFF"/>
        </w:rPr>
        <w:t>Bien qu</w:t>
      </w:r>
      <w:r w:rsidR="000979F7">
        <w:rPr>
          <w:color w:val="000000"/>
          <w:shd w:val="clear" w:color="auto" w:fill="FFFFFF"/>
        </w:rPr>
        <w:t>’</w:t>
      </w:r>
      <w:r>
        <w:rPr>
          <w:color w:val="000000"/>
          <w:shd w:val="clear" w:color="auto" w:fill="FFFFFF"/>
        </w:rPr>
        <w:t>elle soit l</w:t>
      </w:r>
      <w:r w:rsidR="000979F7">
        <w:rPr>
          <w:color w:val="000000"/>
          <w:shd w:val="clear" w:color="auto" w:fill="FFFFFF"/>
        </w:rPr>
        <w:t>’</w:t>
      </w:r>
      <w:r>
        <w:rPr>
          <w:color w:val="000000"/>
          <w:shd w:val="clear" w:color="auto" w:fill="FFFFFF"/>
        </w:rPr>
        <w:t xml:space="preserve">une des </w:t>
      </w:r>
      <w:r w:rsidR="005852EC">
        <w:rPr>
          <w:color w:val="000000"/>
          <w:shd w:val="clear" w:color="auto" w:fill="FFFFFF"/>
        </w:rPr>
        <w:t>C</w:t>
      </w:r>
      <w:r>
        <w:rPr>
          <w:color w:val="000000"/>
          <w:shd w:val="clear" w:color="auto" w:fill="FFFFFF"/>
        </w:rPr>
        <w:t>onventions les plus récentes de l</w:t>
      </w:r>
      <w:r w:rsidR="000979F7">
        <w:rPr>
          <w:color w:val="000000"/>
          <w:shd w:val="clear" w:color="auto" w:fill="FFFFFF"/>
        </w:rPr>
        <w:t>’</w:t>
      </w:r>
      <w:r>
        <w:rPr>
          <w:color w:val="000000"/>
          <w:shd w:val="clear" w:color="auto" w:fill="FFFFFF"/>
        </w:rPr>
        <w:t xml:space="preserve">UNESCO dans le domaine de la culture, elle a connu un taux de ratification exceptionnellement rapide, avec </w:t>
      </w:r>
      <w:r w:rsidR="005852EC">
        <w:rPr>
          <w:color w:val="000000"/>
          <w:shd w:val="clear" w:color="auto" w:fill="FFFFFF"/>
        </w:rPr>
        <w:t xml:space="preserve">183 </w:t>
      </w:r>
      <w:r>
        <w:rPr>
          <w:color w:val="000000"/>
          <w:shd w:val="clear" w:color="auto" w:fill="FFFFFF"/>
        </w:rPr>
        <w:t>États parties à ce jour</w:t>
      </w:r>
      <w:r w:rsidR="00936D4A">
        <w:rPr>
          <w:color w:val="000000"/>
          <w:shd w:val="clear" w:color="auto" w:fill="FFFFFF"/>
        </w:rPr>
        <w:t>,</w:t>
      </w:r>
      <w:r>
        <w:rPr>
          <w:color w:val="000000"/>
          <w:shd w:val="clear" w:color="auto" w:fill="FFFFFF"/>
        </w:rPr>
        <w:t xml:space="preserve"> et</w:t>
      </w:r>
      <w:r w:rsidR="00936D4A">
        <w:rPr>
          <w:color w:val="000000"/>
          <w:shd w:val="clear" w:color="auto" w:fill="FFFFFF"/>
        </w:rPr>
        <w:t>,</w:t>
      </w:r>
      <w:r>
        <w:rPr>
          <w:color w:val="000000"/>
          <w:shd w:val="clear" w:color="auto" w:fill="FFFFFF"/>
        </w:rPr>
        <w:t xml:space="preserve"> est sur le point d</w:t>
      </w:r>
      <w:r w:rsidR="000979F7">
        <w:rPr>
          <w:color w:val="000000"/>
          <w:shd w:val="clear" w:color="auto" w:fill="FFFFFF"/>
        </w:rPr>
        <w:t>’</w:t>
      </w:r>
      <w:r>
        <w:rPr>
          <w:color w:val="000000"/>
          <w:shd w:val="clear" w:color="auto" w:fill="FFFFFF"/>
        </w:rPr>
        <w:t>atteindre l</w:t>
      </w:r>
      <w:r w:rsidR="000979F7">
        <w:rPr>
          <w:color w:val="000000"/>
          <w:shd w:val="clear" w:color="auto" w:fill="FFFFFF"/>
        </w:rPr>
        <w:t>’</w:t>
      </w:r>
      <w:r>
        <w:rPr>
          <w:color w:val="000000"/>
          <w:shd w:val="clear" w:color="auto" w:fill="FFFFFF"/>
        </w:rPr>
        <w:t>universalité.</w:t>
      </w:r>
    </w:p>
    <w:p w14:paraId="38FDD4F1" w14:textId="45E7D56A" w:rsidR="00B67733" w:rsidRPr="00FC502D" w:rsidRDefault="005852EC" w:rsidP="00B67733">
      <w:pPr>
        <w:pStyle w:val="COMPara"/>
        <w:ind w:left="567" w:hanging="567"/>
        <w:jc w:val="both"/>
        <w:rPr>
          <w:color w:val="000000"/>
          <w:shd w:val="clear" w:color="auto" w:fill="FFFFFF"/>
        </w:rPr>
      </w:pPr>
      <w:r>
        <w:rPr>
          <w:color w:val="000000"/>
          <w:shd w:val="clear" w:color="auto" w:fill="FFFFFF"/>
        </w:rPr>
        <w:t>À la suite des</w:t>
      </w:r>
      <w:r w:rsidR="00DC683A">
        <w:rPr>
          <w:color w:val="000000"/>
          <w:shd w:val="clear" w:color="auto" w:fill="FFFFFF"/>
        </w:rPr>
        <w:t xml:space="preserve"> encouragements donnés </w:t>
      </w:r>
      <w:r>
        <w:rPr>
          <w:color w:val="000000"/>
          <w:shd w:val="clear" w:color="auto" w:fill="FFFFFF"/>
        </w:rPr>
        <w:t xml:space="preserve">lors de </w:t>
      </w:r>
      <w:r w:rsidR="00DC683A">
        <w:rPr>
          <w:color w:val="000000"/>
          <w:shd w:val="clear" w:color="auto" w:fill="FFFFFF"/>
        </w:rPr>
        <w:t>la neuvième session de l</w:t>
      </w:r>
      <w:r w:rsidR="000979F7">
        <w:rPr>
          <w:color w:val="000000"/>
          <w:shd w:val="clear" w:color="auto" w:fill="FFFFFF"/>
        </w:rPr>
        <w:t>’</w:t>
      </w:r>
      <w:r w:rsidR="00DC683A">
        <w:rPr>
          <w:color w:val="000000"/>
          <w:shd w:val="clear" w:color="auto" w:fill="FFFFFF"/>
        </w:rPr>
        <w:t xml:space="preserve">Assemblée générale en juillet 2022 </w:t>
      </w:r>
      <w:r w:rsidR="00DC683A">
        <w:t>(</w:t>
      </w:r>
      <w:r>
        <w:t xml:space="preserve">Résolution </w:t>
      </w:r>
      <w:hyperlink r:id="rId8" w:history="1">
        <w:r w:rsidR="00DC683A">
          <w:rPr>
            <w:rStyle w:val="Lienhypertexte"/>
          </w:rPr>
          <w:t>9.</w:t>
        </w:r>
        <w:r>
          <w:rPr>
            <w:rStyle w:val="Lienhypertexte"/>
          </w:rPr>
          <w:t xml:space="preserve">GA </w:t>
        </w:r>
        <w:r w:rsidR="00DC683A">
          <w:rPr>
            <w:rStyle w:val="Lienhypertexte"/>
          </w:rPr>
          <w:t>13</w:t>
        </w:r>
      </w:hyperlink>
      <w:r w:rsidR="00DC683A">
        <w:t>), la</w:t>
      </w:r>
      <w:r w:rsidR="000979F7">
        <w:t xml:space="preserve"> </w:t>
      </w:r>
      <w:r w:rsidR="00DC683A">
        <w:rPr>
          <w:color w:val="000000"/>
          <w:shd w:val="clear" w:color="auto" w:fill="FFFFFF"/>
        </w:rPr>
        <w:t xml:space="preserve">célébration de cet anniversaire a </w:t>
      </w:r>
      <w:r w:rsidR="00B77CEB">
        <w:rPr>
          <w:color w:val="000000"/>
          <w:shd w:val="clear" w:color="auto" w:fill="FFFFFF"/>
        </w:rPr>
        <w:t xml:space="preserve">offert </w:t>
      </w:r>
      <w:r w:rsidR="00DC683A">
        <w:rPr>
          <w:color w:val="000000"/>
          <w:shd w:val="clear" w:color="auto" w:fill="FFFFFF"/>
        </w:rPr>
        <w:t xml:space="preserve">une </w:t>
      </w:r>
      <w:r w:rsidR="00B77CEB">
        <w:rPr>
          <w:color w:val="000000"/>
          <w:shd w:val="clear" w:color="auto" w:fill="FFFFFF"/>
        </w:rPr>
        <w:t xml:space="preserve">opportunité </w:t>
      </w:r>
      <w:r w:rsidR="00DC683A">
        <w:rPr>
          <w:color w:val="000000"/>
          <w:shd w:val="clear" w:color="auto" w:fill="FFFFFF"/>
        </w:rPr>
        <w:t xml:space="preserve">majeure pour les parties prenantes </w:t>
      </w:r>
      <w:r w:rsidR="00B77CEB">
        <w:rPr>
          <w:color w:val="000000"/>
          <w:shd w:val="clear" w:color="auto" w:fill="FFFFFF"/>
        </w:rPr>
        <w:t xml:space="preserve">de : </w:t>
      </w:r>
      <w:r w:rsidR="00DC683A">
        <w:rPr>
          <w:color w:val="000000"/>
          <w:shd w:val="clear" w:color="auto" w:fill="FFFFFF"/>
        </w:rPr>
        <w:t xml:space="preserve">(a) faire le </w:t>
      </w:r>
      <w:r w:rsidR="00936D4A">
        <w:rPr>
          <w:color w:val="000000"/>
          <w:shd w:val="clear" w:color="auto" w:fill="FFFFFF"/>
        </w:rPr>
        <w:t>bilan de</w:t>
      </w:r>
      <w:r w:rsidR="00DC683A">
        <w:rPr>
          <w:color w:val="000000"/>
          <w:shd w:val="clear" w:color="auto" w:fill="FFFFFF"/>
        </w:rPr>
        <w:t>s impacts de la Convention au cours des vingt dernières années, (b) sensibiliser le public à l</w:t>
      </w:r>
      <w:r w:rsidR="000979F7">
        <w:rPr>
          <w:color w:val="000000"/>
          <w:shd w:val="clear" w:color="auto" w:fill="FFFFFF"/>
        </w:rPr>
        <w:t>’</w:t>
      </w:r>
      <w:r w:rsidR="00DC683A">
        <w:rPr>
          <w:color w:val="000000"/>
          <w:shd w:val="clear" w:color="auto" w:fill="FFFFFF"/>
        </w:rPr>
        <w:t xml:space="preserve">importance de la sauvegarde du patrimoine vivant, et (c) réfléchir aux orientations futures que la Convention devrait prendre dans les décennies à venir. Le présent document rend compte des principales activités et </w:t>
      </w:r>
      <w:r w:rsidR="00B77CEB">
        <w:rPr>
          <w:color w:val="000000"/>
          <w:shd w:val="clear" w:color="auto" w:fill="FFFFFF"/>
        </w:rPr>
        <w:t xml:space="preserve">événements organisés </w:t>
      </w:r>
      <w:r w:rsidR="00DC683A">
        <w:rPr>
          <w:color w:val="000000"/>
          <w:shd w:val="clear" w:color="auto" w:fill="FFFFFF"/>
        </w:rPr>
        <w:t>pour célébrer cet anniversaire, s</w:t>
      </w:r>
      <w:r w:rsidR="000979F7">
        <w:rPr>
          <w:color w:val="000000"/>
          <w:shd w:val="clear" w:color="auto" w:fill="FFFFFF"/>
        </w:rPr>
        <w:t>’</w:t>
      </w:r>
      <w:r w:rsidR="00DC683A">
        <w:rPr>
          <w:color w:val="000000"/>
          <w:shd w:val="clear" w:color="auto" w:fill="FFFFFF"/>
        </w:rPr>
        <w:t>appuyant sur le rapport présenté à la dix-huitième session du Comité en décembre 2023 (</w:t>
      </w:r>
      <w:r w:rsidR="00696E8F">
        <w:rPr>
          <w:color w:val="000000"/>
          <w:shd w:val="clear" w:color="auto" w:fill="FFFFFF"/>
        </w:rPr>
        <w:t>D</w:t>
      </w:r>
      <w:r w:rsidR="00DC683A">
        <w:rPr>
          <w:color w:val="000000"/>
          <w:shd w:val="clear" w:color="auto" w:fill="FFFFFF"/>
        </w:rPr>
        <w:t xml:space="preserve">ocument </w:t>
      </w:r>
      <w:hyperlink r:id="rId9" w:history="1">
        <w:r w:rsidR="00DC683A">
          <w:rPr>
            <w:rStyle w:val="Lienhypertexte"/>
            <w:shd w:val="clear" w:color="auto" w:fill="FFFFFF"/>
          </w:rPr>
          <w:t>LHE/23/18.COM/</w:t>
        </w:r>
        <w:r w:rsidR="00B77CEB">
          <w:rPr>
            <w:rStyle w:val="Lienhypertexte"/>
            <w:shd w:val="clear" w:color="auto" w:fill="FFFFFF"/>
          </w:rPr>
          <w:t xml:space="preserve">6 </w:t>
        </w:r>
        <w:r w:rsidR="00DC683A">
          <w:rPr>
            <w:rStyle w:val="Lienhypertexte"/>
            <w:shd w:val="clear" w:color="auto" w:fill="FFFFFF"/>
          </w:rPr>
          <w:t>Rev</w:t>
        </w:r>
      </w:hyperlink>
      <w:r w:rsidR="00DC683A">
        <w:rPr>
          <w:rStyle w:val="Lienhypertexte"/>
          <w:shd w:val="clear" w:color="auto" w:fill="FFFFFF"/>
        </w:rPr>
        <w:t>.</w:t>
      </w:r>
      <w:r w:rsidR="00DC683A">
        <w:rPr>
          <w:color w:val="000000"/>
          <w:shd w:val="clear" w:color="auto" w:fill="FFFFFF"/>
        </w:rPr>
        <w:t xml:space="preserve"> et </w:t>
      </w:r>
      <w:r w:rsidR="00696E8F">
        <w:rPr>
          <w:color w:val="000000"/>
          <w:shd w:val="clear" w:color="auto" w:fill="FFFFFF"/>
        </w:rPr>
        <w:t>D</w:t>
      </w:r>
      <w:r w:rsidR="00B77CEB">
        <w:rPr>
          <w:color w:val="000000"/>
          <w:shd w:val="clear" w:color="auto" w:fill="FFFFFF"/>
        </w:rPr>
        <w:t xml:space="preserve">écision </w:t>
      </w:r>
      <w:hyperlink r:id="rId10" w:history="1">
        <w:r w:rsidR="00DC683A">
          <w:rPr>
            <w:rStyle w:val="Lienhypertexte"/>
            <w:shd w:val="clear" w:color="auto" w:fill="FFFFFF"/>
          </w:rPr>
          <w:t>18.COM 6</w:t>
        </w:r>
      </w:hyperlink>
      <w:r w:rsidR="00DC683A">
        <w:rPr>
          <w:color w:val="000000"/>
          <w:shd w:val="clear" w:color="auto" w:fill="FFFFFF"/>
        </w:rPr>
        <w:t>).</w:t>
      </w:r>
    </w:p>
    <w:p w14:paraId="123B6521" w14:textId="154F8ECE" w:rsidR="00F70CC5" w:rsidRPr="00BB6EEC" w:rsidRDefault="00546F2F" w:rsidP="006F59C9">
      <w:pPr>
        <w:pStyle w:val="COMPara"/>
        <w:numPr>
          <w:ilvl w:val="0"/>
          <w:numId w:val="21"/>
        </w:numPr>
        <w:spacing w:before="240"/>
        <w:ind w:left="567" w:hanging="567"/>
        <w:jc w:val="both"/>
        <w:rPr>
          <w:b/>
          <w:bCs/>
        </w:rPr>
      </w:pPr>
      <w:r>
        <w:rPr>
          <w:b/>
        </w:rPr>
        <w:t>Campagne mondiale</w:t>
      </w:r>
    </w:p>
    <w:p w14:paraId="72859D87" w14:textId="73CB5F2C" w:rsidR="00546F2F" w:rsidRDefault="00546F2F" w:rsidP="00546F2F">
      <w:pPr>
        <w:pStyle w:val="COMPara"/>
        <w:ind w:left="567" w:hanging="567"/>
        <w:jc w:val="both"/>
      </w:pPr>
      <w:r>
        <w:t xml:space="preserve">La campagne du vingtième anniversaire a été organisée sous le slogan </w:t>
      </w:r>
      <w:r w:rsidR="00B77CEB">
        <w:t>général</w:t>
      </w:r>
      <w:r w:rsidR="00B40034">
        <w:t xml:space="preserve"> </w:t>
      </w:r>
      <w:r w:rsidRPr="00905026">
        <w:t>«</w:t>
      </w:r>
      <w:r w:rsidR="00B40034" w:rsidRPr="00360300">
        <w:t> </w:t>
      </w:r>
      <w:r w:rsidR="00AF244C" w:rsidRPr="00905026">
        <w:t>N</w:t>
      </w:r>
      <w:r w:rsidRPr="00905026">
        <w:t>ous sommes le #PatrimoineVivant</w:t>
      </w:r>
      <w:r w:rsidR="00B40034" w:rsidRPr="00360300">
        <w:t> </w:t>
      </w:r>
      <w:r w:rsidRPr="00905026">
        <w:t>»</w:t>
      </w:r>
      <w:r w:rsidRPr="00B40034">
        <w:t>,</w:t>
      </w:r>
      <w:r>
        <w:t xml:space="preserve"> accompagné d</w:t>
      </w:r>
      <w:r w:rsidR="000979F7">
        <w:t>’</w:t>
      </w:r>
      <w:r>
        <w:t xml:space="preserve">une </w:t>
      </w:r>
      <w:hyperlink r:id="rId11" w:history="1">
        <w:r>
          <w:rPr>
            <w:rStyle w:val="Lienhypertexte"/>
          </w:rPr>
          <w:t>vidéo thématique</w:t>
        </w:r>
      </w:hyperlink>
      <w:r>
        <w:t xml:space="preserve"> portant le même titre. Une </w:t>
      </w:r>
      <w:hyperlink r:id="rId12" w:history="1">
        <w:r>
          <w:rPr>
            <w:rStyle w:val="Lienhypertexte"/>
          </w:rPr>
          <w:t>page web dédiée</w:t>
        </w:r>
      </w:hyperlink>
      <w:r>
        <w:t xml:space="preserve"> a été créée afin de fournir des informations sur les événements clés de l</w:t>
      </w:r>
      <w:r w:rsidR="000979F7">
        <w:t>’</w:t>
      </w:r>
      <w:r>
        <w:t>anniversaire. La page web p</w:t>
      </w:r>
      <w:r w:rsidR="00C8662F">
        <w:t>résentait</w:t>
      </w:r>
      <w:r>
        <w:t xml:space="preserve"> une chronologie complète de la Convention, détaillant les étapes importantes de son histoire. La page web </w:t>
      </w:r>
      <w:r w:rsidR="00C8662F">
        <w:t>proposait</w:t>
      </w:r>
      <w:r>
        <w:t xml:space="preserve"> également un </w:t>
      </w:r>
      <w:hyperlink r:id="rId13" w:history="1">
        <w:r>
          <w:rPr>
            <w:rStyle w:val="Lienhypertexte"/>
          </w:rPr>
          <w:t xml:space="preserve">ensemble de </w:t>
        </w:r>
        <w:r w:rsidR="00AF244C">
          <w:rPr>
            <w:rStyle w:val="Lienhypertexte"/>
          </w:rPr>
          <w:t xml:space="preserve">gabarits </w:t>
        </w:r>
        <w:r>
          <w:rPr>
            <w:rStyle w:val="Lienhypertexte"/>
          </w:rPr>
          <w:t>pour les réseaux sociaux</w:t>
        </w:r>
      </w:hyperlink>
      <w:r>
        <w:t xml:space="preserve"> pouvant être téléchargés directement par les parties prenantes depuis le site.</w:t>
      </w:r>
    </w:p>
    <w:p w14:paraId="6D8C89D6" w14:textId="77777777" w:rsidR="00546F2F" w:rsidRPr="001F72AE" w:rsidRDefault="00546F2F" w:rsidP="00546F2F">
      <w:pPr>
        <w:pStyle w:val="COMPara"/>
        <w:numPr>
          <w:ilvl w:val="0"/>
          <w:numId w:val="0"/>
        </w:numPr>
        <w:ind w:firstLine="567"/>
        <w:jc w:val="both"/>
        <w:rPr>
          <w:u w:val="single"/>
        </w:rPr>
      </w:pPr>
      <w:r>
        <w:rPr>
          <w:u w:val="single"/>
        </w:rPr>
        <w:t>Initiatives sur les réseaux sociaux</w:t>
      </w:r>
    </w:p>
    <w:p w14:paraId="4390C7CF" w14:textId="098353C3" w:rsidR="00546F2F" w:rsidRDefault="00546F2F" w:rsidP="00546F2F">
      <w:pPr>
        <w:pStyle w:val="COMPara"/>
        <w:ind w:left="567" w:hanging="567"/>
        <w:jc w:val="both"/>
      </w:pPr>
      <w:r>
        <w:t>L</w:t>
      </w:r>
      <w:r w:rsidR="000979F7">
        <w:t>’</w:t>
      </w:r>
      <w:r>
        <w:t>UNESCO a mené une campagne sur les réseaux sociaux tout au long de l</w:t>
      </w:r>
      <w:r w:rsidR="000979F7">
        <w:t>’</w:t>
      </w:r>
      <w:r>
        <w:t>année pour soutenir les célébrations de l</w:t>
      </w:r>
      <w:r w:rsidR="000979F7">
        <w:t>’</w:t>
      </w:r>
      <w:r>
        <w:t xml:space="preserve">anniversaire. La campagne a notamment </w:t>
      </w:r>
      <w:r w:rsidR="00C8662F">
        <w:t>mis en avant</w:t>
      </w:r>
      <w:r>
        <w:t xml:space="preserve"> des expériences de sauvegarde sélectionnées </w:t>
      </w:r>
      <w:r w:rsidR="00C8662F">
        <w:t xml:space="preserve">ainsi que </w:t>
      </w:r>
      <w:r>
        <w:t xml:space="preserve">des éléments du patrimoine culturel immatériel inscrits sur les listes de la Convention. </w:t>
      </w:r>
      <w:bookmarkStart w:id="1" w:name="_Hlk145413233"/>
      <w:r>
        <w:t>L</w:t>
      </w:r>
      <w:r w:rsidR="000979F7">
        <w:t>’</w:t>
      </w:r>
      <w:r>
        <w:t xml:space="preserve">initiative </w:t>
      </w:r>
      <w:r w:rsidR="00AF244C" w:rsidRPr="00AF244C">
        <w:t>«</w:t>
      </w:r>
      <w:r w:rsidR="00AF244C">
        <w:t> </w:t>
      </w:r>
      <w:r w:rsidR="00AF244C" w:rsidRPr="00AF244C">
        <w:t>Faites entendre votre voix !</w:t>
      </w:r>
      <w:r w:rsidR="00AF244C">
        <w:t xml:space="preserve"> », </w:t>
      </w:r>
      <w:r>
        <w:t xml:space="preserve">par exemple, a encouragé la participation active des </w:t>
      </w:r>
      <w:r w:rsidR="00AF244C">
        <w:t xml:space="preserve">détenteurs </w:t>
      </w:r>
      <w:r>
        <w:t>et des praticiens en utilisant le slogan et l</w:t>
      </w:r>
      <w:r w:rsidR="00130366">
        <w:t xml:space="preserve">e </w:t>
      </w:r>
      <w:r>
        <w:t>hashtag #</w:t>
      </w:r>
      <w:r w:rsidR="00AF244C" w:rsidRPr="00AF244C">
        <w:t>CultivonsNotreHumanité</w:t>
      </w:r>
      <w:r>
        <w:t xml:space="preserve">, tandis que </w:t>
      </w:r>
      <w:bookmarkEnd w:id="1"/>
      <w:r>
        <w:t>de nombreux messages de la campagne portaient le slogan générique #</w:t>
      </w:r>
      <w:r w:rsidR="00AF244C">
        <w:t>PatrimoineVivant</w:t>
      </w:r>
      <w:r>
        <w:t xml:space="preserve">. Le rapport sur les indicateurs clés fait état des éléments </w:t>
      </w:r>
      <w:r w:rsidR="00AF244C">
        <w:t xml:space="preserve">suivants </w:t>
      </w:r>
      <w:r>
        <w:t>: 697 posts, 20,</w:t>
      </w:r>
      <w:r w:rsidR="00AF244C">
        <w:t xml:space="preserve">9 </w:t>
      </w:r>
      <w:r>
        <w:t>millions de personnes atteintes (30,</w:t>
      </w:r>
      <w:r w:rsidR="00AF244C">
        <w:t>2</w:t>
      </w:r>
      <w:r w:rsidR="00D0155E">
        <w:t xml:space="preserve"> </w:t>
      </w:r>
      <w:r>
        <w:t>% parmi les 18-</w:t>
      </w:r>
      <w:r w:rsidR="00AF244C">
        <w:t xml:space="preserve">24 </w:t>
      </w:r>
      <w:r>
        <w:t>ans et 46,</w:t>
      </w:r>
      <w:r w:rsidR="00AF244C">
        <w:t>3</w:t>
      </w:r>
      <w:r w:rsidR="00D0155E">
        <w:t xml:space="preserve"> </w:t>
      </w:r>
      <w:r>
        <w:t>% chez les 25-</w:t>
      </w:r>
      <w:r w:rsidR="00AF244C">
        <w:t xml:space="preserve">34 </w:t>
      </w:r>
      <w:r>
        <w:t>ans sur la base de données sociodémographiques collectées entre mars et décembre 2023) et 13</w:t>
      </w:r>
      <w:r w:rsidR="000979F7">
        <w:t> 464 </w:t>
      </w:r>
      <w:r w:rsidR="00AF244C">
        <w:t xml:space="preserve">168 </w:t>
      </w:r>
      <w:r>
        <w:t xml:space="preserve">vues cumulées de vidéos. Instagram est apparu comme la plateforme la plus performante, </w:t>
      </w:r>
      <w:r w:rsidR="00696E8F">
        <w:t xml:space="preserve">offrant </w:t>
      </w:r>
      <w:r>
        <w:t>à la fois l’audience et l</w:t>
      </w:r>
      <w:r w:rsidR="000979F7">
        <w:t>’</w:t>
      </w:r>
      <w:r>
        <w:t>engagement les plus élevés. En se concentrant sur la narration visuelle et en utilisant stratégiquement des hashtags linguistiques, le contenu a été personnalisé et adapté aux comptes linguistiques respectifs.</w:t>
      </w:r>
    </w:p>
    <w:p w14:paraId="663F4CD6" w14:textId="0E311724" w:rsidR="00546F2F" w:rsidRPr="00B3028A" w:rsidRDefault="00546F2F" w:rsidP="00546F2F">
      <w:pPr>
        <w:pStyle w:val="COMPara"/>
        <w:keepNext/>
        <w:numPr>
          <w:ilvl w:val="0"/>
          <w:numId w:val="0"/>
        </w:numPr>
        <w:ind w:firstLine="567"/>
        <w:jc w:val="both"/>
        <w:rPr>
          <w:u w:val="single"/>
        </w:rPr>
      </w:pPr>
      <w:r>
        <w:rPr>
          <w:u w:val="single"/>
        </w:rPr>
        <w:t xml:space="preserve">Activités dans le monde et </w:t>
      </w:r>
      <w:r w:rsidR="00D11A3C">
        <w:rPr>
          <w:u w:val="single"/>
        </w:rPr>
        <w:t>à</w:t>
      </w:r>
      <w:r>
        <w:rPr>
          <w:u w:val="single"/>
        </w:rPr>
        <w:t xml:space="preserve"> l</w:t>
      </w:r>
      <w:r w:rsidR="000979F7">
        <w:rPr>
          <w:u w:val="single"/>
        </w:rPr>
        <w:t>’</w:t>
      </w:r>
      <w:r>
        <w:rPr>
          <w:u w:val="single"/>
        </w:rPr>
        <w:t>UNESCO</w:t>
      </w:r>
    </w:p>
    <w:p w14:paraId="25739F43" w14:textId="1CA8C726" w:rsidR="00546F2F" w:rsidRDefault="00546F2F" w:rsidP="00DA327D">
      <w:pPr>
        <w:pStyle w:val="COMPara"/>
        <w:ind w:left="567" w:hanging="567"/>
        <w:jc w:val="both"/>
      </w:pPr>
      <w:r>
        <w:t>Conformément aux encouragements de la neuvième session de l</w:t>
      </w:r>
      <w:r w:rsidR="000979F7">
        <w:t>’</w:t>
      </w:r>
      <w:r>
        <w:t>Assemblée générale en juillet 2022 (</w:t>
      </w:r>
      <w:r w:rsidR="00D11A3C">
        <w:t xml:space="preserve">Résolution </w:t>
      </w:r>
      <w:hyperlink r:id="rId14" w:history="1">
        <w:r>
          <w:rPr>
            <w:rStyle w:val="Lienhypertexte"/>
          </w:rPr>
          <w:t>9.</w:t>
        </w:r>
        <w:r w:rsidR="00D11A3C">
          <w:rPr>
            <w:rStyle w:val="Lienhypertexte"/>
          </w:rPr>
          <w:t xml:space="preserve">GA </w:t>
        </w:r>
        <w:r>
          <w:rPr>
            <w:rStyle w:val="Lienhypertexte"/>
          </w:rPr>
          <w:t>13</w:t>
        </w:r>
      </w:hyperlink>
      <w:r>
        <w:t xml:space="preserve">), les parties prenantes de la Convention </w:t>
      </w:r>
      <w:r w:rsidR="00C8662F">
        <w:t>du</w:t>
      </w:r>
      <w:r>
        <w:t xml:space="preserve"> monde entier ont organisé </w:t>
      </w:r>
      <w:r w:rsidR="00D11A3C">
        <w:t xml:space="preserve">des </w:t>
      </w:r>
      <w:r>
        <w:t xml:space="preserve">événements pour célébrer cet anniversaire. Ces célébrations ont été présentées sur la page web de la Convention mentionnée ci-dessus. Un logo du vingtième anniversaire, </w:t>
      </w:r>
      <w:r>
        <w:lastRenderedPageBreak/>
        <w:t>comprenant le texte «</w:t>
      </w:r>
      <w:r w:rsidR="000979F7">
        <w:t> </w:t>
      </w:r>
      <w:r>
        <w:t xml:space="preserve">En soutien au </w:t>
      </w:r>
      <w:r w:rsidR="00D11A3C">
        <w:t>20</w:t>
      </w:r>
      <w:r w:rsidR="00D11A3C" w:rsidRPr="00905026">
        <w:rPr>
          <w:vertAlign w:val="superscript"/>
        </w:rPr>
        <w:t>e</w:t>
      </w:r>
      <w:r w:rsidR="00D11A3C">
        <w:t xml:space="preserve"> </w:t>
      </w:r>
      <w:r>
        <w:t xml:space="preserve">anniversaire de la </w:t>
      </w:r>
      <w:r w:rsidR="00D11A3C">
        <w:t>C</w:t>
      </w:r>
      <w:r>
        <w:t>onvention de 2003</w:t>
      </w:r>
      <w:r w:rsidR="000979F7">
        <w:t> </w:t>
      </w:r>
      <w:r>
        <w:t>», a été mis à disposition et adapté dans les langues demandées pour soutenir ces initiatives.</w:t>
      </w:r>
    </w:p>
    <w:p w14:paraId="206AD518" w14:textId="363AD582" w:rsidR="00D212B2" w:rsidRDefault="00C3291E" w:rsidP="006F59C9">
      <w:pPr>
        <w:pStyle w:val="COMPara"/>
        <w:numPr>
          <w:ilvl w:val="0"/>
          <w:numId w:val="53"/>
        </w:numPr>
        <w:ind w:left="1134" w:hanging="567"/>
        <w:jc w:val="both"/>
      </w:pPr>
      <w:r>
        <w:t xml:space="preserve">Au total, </w:t>
      </w:r>
      <w:r w:rsidR="00D11A3C">
        <w:t xml:space="preserve">179 </w:t>
      </w:r>
      <w:r>
        <w:t xml:space="preserve">événements </w:t>
      </w:r>
      <w:r w:rsidR="00C8662F">
        <w:t>figurent</w:t>
      </w:r>
      <w:r>
        <w:t xml:space="preserve"> sur la page web, répartis comme suit par </w:t>
      </w:r>
      <w:r w:rsidR="00D11A3C">
        <w:t xml:space="preserve">région </w:t>
      </w:r>
      <w:r>
        <w:t xml:space="preserve">: Groupe électoral </w:t>
      </w:r>
      <w:r w:rsidR="00D11A3C">
        <w:t xml:space="preserve">I </w:t>
      </w:r>
      <w:r>
        <w:t xml:space="preserve">: 73 </w:t>
      </w:r>
      <w:r w:rsidR="00D11A3C">
        <w:t xml:space="preserve">activités </w:t>
      </w:r>
      <w:r>
        <w:t xml:space="preserve">; Groupe </w:t>
      </w:r>
      <w:r w:rsidR="00D11A3C">
        <w:t xml:space="preserve">électoral </w:t>
      </w:r>
      <w:r>
        <w:t xml:space="preserve">II </w:t>
      </w:r>
      <w:r w:rsidR="00D11A3C">
        <w:t xml:space="preserve">: </w:t>
      </w:r>
      <w:r>
        <w:t xml:space="preserve">54 </w:t>
      </w:r>
      <w:r w:rsidR="00D11A3C">
        <w:t xml:space="preserve">activités </w:t>
      </w:r>
      <w:r>
        <w:t xml:space="preserve">; Groupe </w:t>
      </w:r>
      <w:r w:rsidR="00D11A3C">
        <w:t xml:space="preserve">électoral III </w:t>
      </w:r>
      <w:r>
        <w:t xml:space="preserve">: 13 </w:t>
      </w:r>
      <w:r w:rsidR="00D11A3C">
        <w:t xml:space="preserve">activités </w:t>
      </w:r>
      <w:r>
        <w:t xml:space="preserve">; Groupe </w:t>
      </w:r>
      <w:r w:rsidR="00D11A3C">
        <w:t xml:space="preserve">électoral IV </w:t>
      </w:r>
      <w:r>
        <w:t xml:space="preserve">: 27 </w:t>
      </w:r>
      <w:r w:rsidR="00D11A3C">
        <w:t xml:space="preserve">activités </w:t>
      </w:r>
      <w:r>
        <w:t>; Groupe électoral V(a</w:t>
      </w:r>
      <w:r w:rsidR="00D11A3C">
        <w:t xml:space="preserve">) </w:t>
      </w:r>
      <w:r>
        <w:t xml:space="preserve">: 4 </w:t>
      </w:r>
      <w:r w:rsidR="00D11A3C">
        <w:t xml:space="preserve">activités </w:t>
      </w:r>
      <w:r>
        <w:t>; Groupe électoral V(b</w:t>
      </w:r>
      <w:r w:rsidR="00D11A3C">
        <w:t xml:space="preserve">) </w:t>
      </w:r>
      <w:r>
        <w:t xml:space="preserve">: 4 </w:t>
      </w:r>
      <w:r w:rsidR="00D11A3C">
        <w:t xml:space="preserve">activités </w:t>
      </w:r>
      <w:r>
        <w:t xml:space="preserve">; </w:t>
      </w:r>
      <w:r w:rsidR="00D0155E">
        <w:t>M</w:t>
      </w:r>
      <w:r>
        <w:t>ultirégional</w:t>
      </w:r>
      <w:r w:rsidR="00017478">
        <w:t xml:space="preserve"> </w:t>
      </w:r>
      <w:r>
        <w:t xml:space="preserve">: 4 </w:t>
      </w:r>
      <w:r w:rsidR="00D11A3C">
        <w:t>activités.</w:t>
      </w:r>
      <w:r>
        <w:t xml:space="preserve"> La majorité des événements organisés étaient des conférences (27</w:t>
      </w:r>
      <w:r w:rsidR="000979F7">
        <w:t> </w:t>
      </w:r>
      <w:r>
        <w:t>%) et des festivals (21</w:t>
      </w:r>
      <w:r w:rsidR="000979F7">
        <w:t> </w:t>
      </w:r>
      <w:r>
        <w:t>%), suivis par des expositions (8</w:t>
      </w:r>
      <w:r w:rsidR="000979F7">
        <w:t> </w:t>
      </w:r>
      <w:r>
        <w:t>%) et des ateliers (6</w:t>
      </w:r>
      <w:r w:rsidR="000979F7">
        <w:t> </w:t>
      </w:r>
      <w:r>
        <w:t>%), et d</w:t>
      </w:r>
      <w:r w:rsidR="000979F7">
        <w:t>’</w:t>
      </w:r>
      <w:r>
        <w:t>autres types d</w:t>
      </w:r>
      <w:r w:rsidR="000979F7">
        <w:t>’</w:t>
      </w:r>
      <w:r>
        <w:t>activités (35</w:t>
      </w:r>
      <w:r w:rsidR="000979F7">
        <w:t> </w:t>
      </w:r>
      <w:r>
        <w:t>%), telles que le lancement de publications (3</w:t>
      </w:r>
      <w:r w:rsidR="000979F7">
        <w:t> </w:t>
      </w:r>
      <w:r>
        <w:t>%).</w:t>
      </w:r>
    </w:p>
    <w:p w14:paraId="6A05577E" w14:textId="77996996" w:rsidR="00AD72B1" w:rsidRDefault="00AD72B1" w:rsidP="006F59C9">
      <w:pPr>
        <w:pStyle w:val="COMPara"/>
        <w:numPr>
          <w:ilvl w:val="0"/>
          <w:numId w:val="53"/>
        </w:numPr>
        <w:ind w:left="1134" w:hanging="567"/>
        <w:jc w:val="both"/>
      </w:pPr>
      <w:r>
        <w:t>Un nombre important d</w:t>
      </w:r>
      <w:r w:rsidR="000979F7">
        <w:t>’</w:t>
      </w:r>
      <w:r>
        <w:t>événements (44</w:t>
      </w:r>
      <w:r w:rsidR="000979F7">
        <w:t> </w:t>
      </w:r>
      <w:r>
        <w:t>%) ont été organisés par des institutions publiques, telles que les ministères de la culture, des centres culturels nationaux ou d</w:t>
      </w:r>
      <w:r w:rsidR="000979F7">
        <w:t>’</w:t>
      </w:r>
      <w:r>
        <w:t>autres types d</w:t>
      </w:r>
      <w:r w:rsidR="000979F7">
        <w:t>’</w:t>
      </w:r>
      <w:r>
        <w:t>institutions nationales ou régionales. Parallèlement, la participation d</w:t>
      </w:r>
      <w:r w:rsidR="000979F7">
        <w:t>’</w:t>
      </w:r>
      <w:r>
        <w:t>universités ou d</w:t>
      </w:r>
      <w:r w:rsidR="000979F7">
        <w:t>’</w:t>
      </w:r>
      <w:r>
        <w:t>autres établissements d</w:t>
      </w:r>
      <w:r w:rsidR="000979F7">
        <w:t>’</w:t>
      </w:r>
      <w:r>
        <w:t>enseignement (5</w:t>
      </w:r>
      <w:r w:rsidR="000979F7">
        <w:t> </w:t>
      </w:r>
      <w:r>
        <w:t>%) et d</w:t>
      </w:r>
      <w:r w:rsidR="000979F7">
        <w:t>’</w:t>
      </w:r>
      <w:r>
        <w:t>organisations non gouvernementales (24</w:t>
      </w:r>
      <w:r w:rsidR="000979F7">
        <w:t> </w:t>
      </w:r>
      <w:r>
        <w:t>%) est également remarquable.</w:t>
      </w:r>
    </w:p>
    <w:p w14:paraId="322E46BC" w14:textId="4F7410FB" w:rsidR="00DA327D" w:rsidRDefault="00783522" w:rsidP="00D212B2">
      <w:pPr>
        <w:pStyle w:val="COMPara"/>
        <w:numPr>
          <w:ilvl w:val="0"/>
          <w:numId w:val="53"/>
        </w:numPr>
        <w:ind w:left="1134" w:hanging="567"/>
        <w:jc w:val="both"/>
      </w:pPr>
      <w:r>
        <w:t>Certains des événements visant à célébrer cet anniversaire ont eu lieu au niveau régional. On peut à ce titre citer une série d</w:t>
      </w:r>
      <w:r w:rsidR="000979F7">
        <w:t>’</w:t>
      </w:r>
      <w:r>
        <w:t xml:space="preserve">initiatives </w:t>
      </w:r>
      <w:r w:rsidR="00B73C3B">
        <w:t xml:space="preserve">menées </w:t>
      </w:r>
      <w:r>
        <w:t>par les parties prenantes d</w:t>
      </w:r>
      <w:r w:rsidR="000979F7">
        <w:t>’</w:t>
      </w:r>
      <w:r>
        <w:t>Amérique latine et des Caraïbes</w:t>
      </w:r>
      <w:r w:rsidR="00C702F4">
        <w:t xml:space="preserve"> qui incluait </w:t>
      </w:r>
      <w:r>
        <w:t>une conférence</w:t>
      </w:r>
      <w:r w:rsidR="00017478">
        <w:rPr>
          <w:rStyle w:val="Appelnotedebasdep"/>
        </w:rPr>
        <w:footnoteReference w:id="1"/>
      </w:r>
      <w:r>
        <w:t xml:space="preserve"> organisée au siège de l</w:t>
      </w:r>
      <w:r w:rsidR="000979F7">
        <w:t>’</w:t>
      </w:r>
      <w:r>
        <w:t>UNESCO, une réunion</w:t>
      </w:r>
      <w:r w:rsidR="00017478">
        <w:rPr>
          <w:rStyle w:val="Appelnotedebasdep"/>
        </w:rPr>
        <w:footnoteReference w:id="2"/>
      </w:r>
      <w:r>
        <w:t xml:space="preserve"> d</w:t>
      </w:r>
      <w:r w:rsidR="000979F7">
        <w:t>’</w:t>
      </w:r>
      <w:r>
        <w:t xml:space="preserve">experts organisée au Pérou en coopération avec le centre de </w:t>
      </w:r>
      <w:r w:rsidR="00BF5C3A">
        <w:t xml:space="preserve">catégorie </w:t>
      </w:r>
      <w:r>
        <w:t>2 CRESPIAL, et le lancement d</w:t>
      </w:r>
      <w:r w:rsidR="000979F7">
        <w:t>’</w:t>
      </w:r>
      <w:r>
        <w:t>une publication</w:t>
      </w:r>
      <w:r w:rsidR="00017478">
        <w:rPr>
          <w:rStyle w:val="Appelnotedebasdep"/>
        </w:rPr>
        <w:footnoteReference w:id="3"/>
      </w:r>
      <w:r>
        <w:t xml:space="preserve"> compilant les résultats de la réflexion régionale.</w:t>
      </w:r>
    </w:p>
    <w:p w14:paraId="686E9571" w14:textId="1057E859" w:rsidR="00C110E9" w:rsidRPr="002166A6" w:rsidRDefault="00B726DB" w:rsidP="00C110E9">
      <w:pPr>
        <w:pStyle w:val="COMPara"/>
        <w:ind w:left="567" w:hanging="567"/>
        <w:jc w:val="both"/>
      </w:pPr>
      <w:r>
        <w:rPr>
          <w:rFonts w:asciiTheme="minorBidi" w:hAnsiTheme="minorBidi"/>
        </w:rPr>
        <w:t xml:space="preserve">Comme </w:t>
      </w:r>
      <w:r w:rsidR="006B44FC">
        <w:rPr>
          <w:rFonts w:asciiTheme="minorBidi" w:hAnsiTheme="minorBidi"/>
        </w:rPr>
        <w:t xml:space="preserve">rapporté </w:t>
      </w:r>
      <w:r>
        <w:rPr>
          <w:rFonts w:asciiTheme="minorBidi" w:hAnsiTheme="minorBidi"/>
        </w:rPr>
        <w:t xml:space="preserve">lors de la dix-huitième session du Comité, le Secrétariat a soutenu cette célébration en organisant certains événements </w:t>
      </w:r>
      <w:r>
        <w:t>au siège de l</w:t>
      </w:r>
      <w:r w:rsidR="000979F7">
        <w:t>’</w:t>
      </w:r>
      <w:r>
        <w:t xml:space="preserve">UNESCO ayant pour thème central le patrimoine culturel immatériel et faisant référence au vingtième anniversaire de la Convention. </w:t>
      </w:r>
      <w:r>
        <w:rPr>
          <w:rFonts w:asciiTheme="minorBidi" w:hAnsiTheme="minorBidi"/>
        </w:rPr>
        <w:t xml:space="preserve">Parmi les autres initiatives de sensibilisation, on peut citer une exposition de photographies ou encore </w:t>
      </w:r>
      <w:r w:rsidR="00C702F4">
        <w:rPr>
          <w:rFonts w:asciiTheme="minorBidi" w:hAnsiTheme="minorBidi"/>
        </w:rPr>
        <w:t>l’émission d’</w:t>
      </w:r>
      <w:r>
        <w:rPr>
          <w:rFonts w:asciiTheme="minorBidi" w:hAnsiTheme="minorBidi"/>
        </w:rPr>
        <w:t>un timbre commémoratif dans le cadre du partenariat avec La Poste</w:t>
      </w:r>
      <w:r w:rsidR="004D2C36">
        <w:rPr>
          <w:rFonts w:asciiTheme="minorBidi" w:hAnsiTheme="minorBidi"/>
        </w:rPr>
        <w:t xml:space="preserve">, </w:t>
      </w:r>
      <w:r w:rsidR="009947DE">
        <w:rPr>
          <w:rFonts w:asciiTheme="minorBidi" w:hAnsiTheme="minorBidi"/>
        </w:rPr>
        <w:t>l’agence postale française</w:t>
      </w:r>
      <w:r>
        <w:rPr>
          <w:rFonts w:asciiTheme="minorBidi" w:hAnsiTheme="minorBidi"/>
        </w:rPr>
        <w:t xml:space="preserve"> (document </w:t>
      </w:r>
      <w:hyperlink r:id="rId15" w:history="1">
        <w:r>
          <w:rPr>
            <w:rStyle w:val="Lienhypertexte"/>
            <w:rFonts w:asciiTheme="minorBidi" w:hAnsiTheme="minorBidi"/>
          </w:rPr>
          <w:t>LHE/23/18.COM/</w:t>
        </w:r>
        <w:r w:rsidR="00017478">
          <w:rPr>
            <w:rStyle w:val="Lienhypertexte"/>
            <w:rFonts w:asciiTheme="minorBidi" w:hAnsiTheme="minorBidi"/>
          </w:rPr>
          <w:t xml:space="preserve">6 </w:t>
        </w:r>
        <w:r>
          <w:rPr>
            <w:rStyle w:val="Lienhypertexte"/>
            <w:rFonts w:asciiTheme="minorBidi" w:hAnsiTheme="minorBidi"/>
          </w:rPr>
          <w:t>Rev.</w:t>
        </w:r>
      </w:hyperlink>
      <w:r>
        <w:rPr>
          <w:rFonts w:asciiTheme="minorBidi" w:hAnsiTheme="minorBidi"/>
        </w:rPr>
        <w:t>)</w:t>
      </w:r>
      <w:r>
        <w:t>.</w:t>
      </w:r>
      <w:r>
        <w:rPr>
          <w:rFonts w:asciiTheme="minorBidi" w:hAnsiTheme="minorBidi"/>
        </w:rPr>
        <w:t xml:space="preserve"> </w:t>
      </w:r>
      <w:r>
        <w:t>L</w:t>
      </w:r>
      <w:r w:rsidR="000979F7">
        <w:t>’</w:t>
      </w:r>
      <w:r>
        <w:t xml:space="preserve">élan de </w:t>
      </w:r>
      <w:r w:rsidR="00017478">
        <w:t xml:space="preserve">cette </w:t>
      </w:r>
      <w:r>
        <w:t>célébration en 2023 a également conduit à l</w:t>
      </w:r>
      <w:r w:rsidR="000979F7">
        <w:t>’</w:t>
      </w:r>
      <w:r>
        <w:t xml:space="preserve">exploration </w:t>
      </w:r>
      <w:r w:rsidR="004D2C36">
        <w:t xml:space="preserve">et </w:t>
      </w:r>
      <w:r>
        <w:t>au lancement de</w:t>
      </w:r>
      <w:r w:rsidR="004D2C36">
        <w:t xml:space="preserve"> différentes</w:t>
      </w:r>
      <w:r>
        <w:t xml:space="preserve"> initiatives. </w:t>
      </w:r>
      <w:r w:rsidR="004D2C36">
        <w:t xml:space="preserve">Cela comprenait, par exemple, trois </w:t>
      </w:r>
      <w:r>
        <w:t>initiatives liées à la publication de livres et d</w:t>
      </w:r>
      <w:r w:rsidR="000979F7">
        <w:t>’</w:t>
      </w:r>
      <w:r>
        <w:t>une carte axée sur la sauvegarde du patrimoine vivant. Même si ces projets n</w:t>
      </w:r>
      <w:r w:rsidR="000979F7">
        <w:t>’</w:t>
      </w:r>
      <w:r>
        <w:t xml:space="preserve">ont pas été entièrement achevés au cours de </w:t>
      </w:r>
      <w:r w:rsidR="004D2C36">
        <w:t xml:space="preserve">cette </w:t>
      </w:r>
      <w:r>
        <w:t xml:space="preserve">année anniversaire, ils </w:t>
      </w:r>
      <w:r w:rsidR="00DA4EFF">
        <w:t xml:space="preserve">ont </w:t>
      </w:r>
      <w:r w:rsidR="004D2C36">
        <w:t xml:space="preserve">été </w:t>
      </w:r>
      <w:r w:rsidR="00DA4EFF">
        <w:t>p</w:t>
      </w:r>
      <w:r>
        <w:t>oursuivis en 2024.</w:t>
      </w:r>
    </w:p>
    <w:p w14:paraId="638C8FE6" w14:textId="69CE8FC7" w:rsidR="00546F2F" w:rsidRPr="00F759BD" w:rsidRDefault="00DD0801" w:rsidP="00546F2F">
      <w:pPr>
        <w:pStyle w:val="COMPara"/>
        <w:numPr>
          <w:ilvl w:val="0"/>
          <w:numId w:val="21"/>
        </w:numPr>
        <w:spacing w:before="240"/>
        <w:ind w:left="567" w:hanging="567"/>
        <w:jc w:val="both"/>
        <w:rPr>
          <w:b/>
        </w:rPr>
      </w:pPr>
      <w:r>
        <w:rPr>
          <w:b/>
        </w:rPr>
        <w:t>Événements majeurs et documents-cadres</w:t>
      </w:r>
    </w:p>
    <w:p w14:paraId="68FEF434" w14:textId="1AE61B41" w:rsidR="00AE212F" w:rsidRDefault="00546F2F" w:rsidP="006F59C9">
      <w:pPr>
        <w:pStyle w:val="COMPara"/>
        <w:ind w:left="567" w:hanging="567"/>
        <w:jc w:val="both"/>
      </w:pPr>
      <w:r>
        <w:rPr>
          <w:rFonts w:asciiTheme="minorBidi" w:hAnsiTheme="minorBidi"/>
        </w:rPr>
        <w:t>Un événement marquant</w:t>
      </w:r>
      <w:r w:rsidR="004D2C36">
        <w:rPr>
          <w:rFonts w:asciiTheme="minorBidi" w:hAnsiTheme="minorBidi"/>
        </w:rPr>
        <w:t>,</w:t>
      </w:r>
      <w:r>
        <w:rPr>
          <w:rFonts w:asciiTheme="minorBidi" w:hAnsiTheme="minorBidi"/>
        </w:rPr>
        <w:t xml:space="preserve"> une réunion mondiale </w:t>
      </w:r>
      <w:r w:rsidR="004D2C36">
        <w:rPr>
          <w:rFonts w:asciiTheme="minorBidi" w:hAnsiTheme="minorBidi"/>
        </w:rPr>
        <w:t xml:space="preserve">s’est tenue </w:t>
      </w:r>
      <w:r>
        <w:rPr>
          <w:rFonts w:asciiTheme="minorBidi" w:hAnsiTheme="minorBidi"/>
        </w:rPr>
        <w:t>à Séoul, en République de Corée</w:t>
      </w:r>
      <w:r w:rsidR="00E7159B">
        <w:rPr>
          <w:rStyle w:val="Appelnotedebasdep"/>
          <w:rFonts w:asciiTheme="minorBidi" w:hAnsiTheme="minorBidi"/>
        </w:rPr>
        <w:footnoteReference w:id="4"/>
      </w:r>
      <w:r>
        <w:rPr>
          <w:rFonts w:asciiTheme="minorBidi" w:hAnsiTheme="minorBidi"/>
        </w:rPr>
        <w:t xml:space="preserve">, les 25 et </w:t>
      </w:r>
      <w:r w:rsidR="00DA4EFF">
        <w:rPr>
          <w:rFonts w:asciiTheme="minorBidi" w:hAnsiTheme="minorBidi"/>
        </w:rPr>
        <w:t xml:space="preserve">26 </w:t>
      </w:r>
      <w:r>
        <w:rPr>
          <w:rFonts w:asciiTheme="minorBidi" w:hAnsiTheme="minorBidi"/>
        </w:rPr>
        <w:t>juillet 2023</w:t>
      </w:r>
      <w:r w:rsidR="004D2C36">
        <w:rPr>
          <w:rFonts w:asciiTheme="minorBidi" w:hAnsiTheme="minorBidi"/>
        </w:rPr>
        <w:t xml:space="preserve"> sous </w:t>
      </w:r>
      <w:r>
        <w:rPr>
          <w:rFonts w:asciiTheme="minorBidi" w:hAnsiTheme="minorBidi"/>
        </w:rPr>
        <w:t>le thème «</w:t>
      </w:r>
      <w:r w:rsidR="000979F7">
        <w:rPr>
          <w:rFonts w:asciiTheme="minorBidi" w:hAnsiTheme="minorBidi"/>
        </w:rPr>
        <w:t> </w:t>
      </w:r>
      <w:r>
        <w:rPr>
          <w:rFonts w:asciiTheme="minorBidi" w:hAnsiTheme="minorBidi"/>
        </w:rPr>
        <w:t>Libérer le pouvoir du patrimoine vivant pour le développement durable et la paix</w:t>
      </w:r>
      <w:r w:rsidR="000979F7">
        <w:rPr>
          <w:rFonts w:asciiTheme="minorBidi" w:hAnsiTheme="minorBidi"/>
        </w:rPr>
        <w:t> </w:t>
      </w:r>
      <w:r>
        <w:rPr>
          <w:rFonts w:asciiTheme="minorBidi" w:hAnsiTheme="minorBidi"/>
        </w:rPr>
        <w:t>», qui a examiné les contributions de la sauvegarde du patrimoine vivant à la réalisation des</w:t>
      </w:r>
      <w:r>
        <w:t xml:space="preserve"> Objectifs de </w:t>
      </w:r>
      <w:r w:rsidR="004D2C36">
        <w:t>Développement D</w:t>
      </w:r>
      <w:r>
        <w:t>urable, notamment pour l</w:t>
      </w:r>
      <w:r w:rsidR="000979F7">
        <w:t>’</w:t>
      </w:r>
      <w:r>
        <w:t>établissement de la paix, le renforcement de la solidarité et de l</w:t>
      </w:r>
      <w:r w:rsidR="000979F7">
        <w:t>’</w:t>
      </w:r>
      <w:r>
        <w:t xml:space="preserve">inclusion, la préservation de la biodiversité et des océans, et la réponse </w:t>
      </w:r>
      <w:r w:rsidR="004D2C36">
        <w:t>aux</w:t>
      </w:r>
      <w:r>
        <w:t xml:space="preserve"> crises sanitaires, sociales et économiques. La</w:t>
      </w:r>
      <w:r>
        <w:rPr>
          <w:rFonts w:asciiTheme="minorBidi" w:hAnsiTheme="minorBidi"/>
        </w:rPr>
        <w:t xml:space="preserve"> réunion a </w:t>
      </w:r>
      <w:r w:rsidR="001F66D6">
        <w:rPr>
          <w:rFonts w:asciiTheme="minorBidi" w:hAnsiTheme="minorBidi"/>
        </w:rPr>
        <w:t>abouti à</w:t>
      </w:r>
      <w:r>
        <w:rPr>
          <w:rFonts w:asciiTheme="minorBidi" w:hAnsiTheme="minorBidi"/>
        </w:rPr>
        <w:t xml:space="preserve"> un document </w:t>
      </w:r>
      <w:r w:rsidR="001F66D6">
        <w:rPr>
          <w:rFonts w:asciiTheme="minorBidi" w:hAnsiTheme="minorBidi"/>
        </w:rPr>
        <w:t>de synthèse</w:t>
      </w:r>
      <w:r>
        <w:rPr>
          <w:rFonts w:asciiTheme="minorBidi" w:hAnsiTheme="minorBidi"/>
        </w:rPr>
        <w:t xml:space="preserve">, la </w:t>
      </w:r>
      <w:r w:rsidR="005E4690">
        <w:rPr>
          <w:rFonts w:asciiTheme="minorBidi" w:hAnsiTheme="minorBidi"/>
        </w:rPr>
        <w:t>« </w:t>
      </w:r>
      <w:hyperlink r:id="rId16" w:history="1">
        <w:r>
          <w:rPr>
            <w:rStyle w:val="Lienhypertexte"/>
            <w:rFonts w:asciiTheme="minorBidi" w:hAnsiTheme="minorBidi"/>
          </w:rPr>
          <w:t>Vision de Séoul pour l</w:t>
        </w:r>
        <w:r w:rsidR="000979F7">
          <w:rPr>
            <w:rStyle w:val="Lienhypertexte"/>
            <w:rFonts w:asciiTheme="minorBidi" w:hAnsiTheme="minorBidi"/>
          </w:rPr>
          <w:t>’</w:t>
        </w:r>
        <w:r>
          <w:rPr>
            <w:rStyle w:val="Lienhypertexte"/>
            <w:rFonts w:asciiTheme="minorBidi" w:hAnsiTheme="minorBidi"/>
          </w:rPr>
          <w:t>avenir de la sauvegarde du patrimoine vivant pour le développement durable et la paix</w:t>
        </w:r>
      </w:hyperlink>
      <w:r w:rsidR="005E4690" w:rsidRPr="009947DE">
        <w:rPr>
          <w:rStyle w:val="Lienhypertexte"/>
          <w:rFonts w:asciiTheme="minorBidi" w:hAnsiTheme="minorBidi"/>
          <w:color w:val="auto"/>
          <w:u w:val="none"/>
        </w:rPr>
        <w:t> »</w:t>
      </w:r>
      <w:r w:rsidRPr="009947DE">
        <w:rPr>
          <w:rFonts w:asciiTheme="minorBidi" w:hAnsiTheme="minorBidi"/>
        </w:rPr>
        <w:t xml:space="preserve">, </w:t>
      </w:r>
      <w:r>
        <w:rPr>
          <w:rFonts w:asciiTheme="minorBidi" w:hAnsiTheme="minorBidi"/>
        </w:rPr>
        <w:t xml:space="preserve">qui </w:t>
      </w:r>
      <w:r w:rsidR="00C8662F">
        <w:rPr>
          <w:rFonts w:asciiTheme="minorBidi" w:hAnsiTheme="minorBidi"/>
        </w:rPr>
        <w:t>met en</w:t>
      </w:r>
      <w:r w:rsidR="008F0031">
        <w:rPr>
          <w:rFonts w:asciiTheme="minorBidi" w:hAnsiTheme="minorBidi"/>
        </w:rPr>
        <w:t xml:space="preserve"> avant</w:t>
      </w:r>
      <w:r>
        <w:rPr>
          <w:rFonts w:asciiTheme="minorBidi" w:hAnsiTheme="minorBidi"/>
        </w:rPr>
        <w:t xml:space="preserve"> les domaines spécifiques dans lesquels la Convention peut être développée</w:t>
      </w:r>
      <w:r w:rsidR="005E4690">
        <w:rPr>
          <w:rFonts w:asciiTheme="minorBidi" w:hAnsiTheme="minorBidi"/>
        </w:rPr>
        <w:t xml:space="preserve"> davantage</w:t>
      </w:r>
      <w:r>
        <w:t>. Ces domaines d</w:t>
      </w:r>
      <w:r w:rsidR="000979F7">
        <w:t>’</w:t>
      </w:r>
      <w:r>
        <w:t xml:space="preserve">action comprennent la sauvegarde du patrimoine vivant et les moyens de </w:t>
      </w:r>
      <w:r>
        <w:lastRenderedPageBreak/>
        <w:t>subsistance, l</w:t>
      </w:r>
      <w:r w:rsidR="000979F7">
        <w:t>’</w:t>
      </w:r>
      <w:r>
        <w:t>action climatique et les contextes urbains, ainsi que le patrimoine vivant dans les situations d</w:t>
      </w:r>
      <w:r w:rsidR="000979F7">
        <w:t>’</w:t>
      </w:r>
      <w:r>
        <w:t>urgence, l</w:t>
      </w:r>
      <w:r w:rsidR="000979F7">
        <w:t>’</w:t>
      </w:r>
      <w:r>
        <w:t>intégration de la culture dans l</w:t>
      </w:r>
      <w:r w:rsidR="000979F7">
        <w:t>’</w:t>
      </w:r>
      <w:r>
        <w:t>éducation et le patrimoine vivant dans l</w:t>
      </w:r>
      <w:r w:rsidR="000979F7">
        <w:t>’</w:t>
      </w:r>
      <w:r>
        <w:t>environnement numérique.</w:t>
      </w:r>
    </w:p>
    <w:p w14:paraId="12CCF155" w14:textId="37BF40ED" w:rsidR="00240001" w:rsidRDefault="002E1232" w:rsidP="00240001">
      <w:pPr>
        <w:pStyle w:val="COMPara"/>
        <w:ind w:left="567" w:hanging="567"/>
        <w:jc w:val="both"/>
      </w:pPr>
      <w:r>
        <w:t xml:space="preserve">Recherchant une synergie renforcée dans la sauvegarde du patrimoine culturel matériel et immatériel, la </w:t>
      </w:r>
      <w:hyperlink r:id="rId17" w:history="1">
        <w:r>
          <w:rPr>
            <w:rStyle w:val="Lienhypertexte"/>
          </w:rPr>
          <w:t xml:space="preserve">Conférence de Naples sur le patrimoine culturel au </w:t>
        </w:r>
        <w:r w:rsidR="00DA4EFF">
          <w:rPr>
            <w:rStyle w:val="Lienhypertexte"/>
          </w:rPr>
          <w:t>21</w:t>
        </w:r>
        <w:r w:rsidR="00DA4EFF" w:rsidRPr="00DA4EFF">
          <w:rPr>
            <w:rStyle w:val="Lienhypertexte"/>
          </w:rPr>
          <w:t>ème</w:t>
        </w:r>
        <w:r w:rsidR="00DA4EFF">
          <w:rPr>
            <w:rStyle w:val="Lienhypertexte"/>
          </w:rPr>
          <w:t xml:space="preserve"> </w:t>
        </w:r>
        <w:r>
          <w:rPr>
            <w:rStyle w:val="Lienhypertexte"/>
          </w:rPr>
          <w:t>siècle</w:t>
        </w:r>
      </w:hyperlink>
      <w:r>
        <w:t xml:space="preserve"> </w:t>
      </w:r>
      <w:r w:rsidR="00C8662F">
        <w:t xml:space="preserve">s’est tenue </w:t>
      </w:r>
      <w:r>
        <w:t xml:space="preserve">du 27 au </w:t>
      </w:r>
      <w:r w:rsidR="00DA4EFF">
        <w:t xml:space="preserve">29 </w:t>
      </w:r>
      <w:r>
        <w:t>novembre 2023 à Naples,</w:t>
      </w:r>
      <w:r w:rsidR="00C8662F">
        <w:t xml:space="preserve"> en</w:t>
      </w:r>
      <w:r>
        <w:t xml:space="preserve"> Italie</w:t>
      </w:r>
      <w:r w:rsidR="00E7159B">
        <w:rPr>
          <w:rStyle w:val="Appelnotedebasdep"/>
        </w:rPr>
        <w:footnoteReference w:id="5"/>
      </w:r>
      <w:r>
        <w:t>. L</w:t>
      </w:r>
      <w:r w:rsidR="000979F7">
        <w:t>’</w:t>
      </w:r>
      <w:r>
        <w:t>objectif principal de cette réunion était d</w:t>
      </w:r>
      <w:r w:rsidR="000979F7">
        <w:t>’</w:t>
      </w:r>
      <w:r>
        <w:t>encourager de nouvelles formes de sauvegarde qui renforcent l</w:t>
      </w:r>
      <w:r w:rsidR="000979F7">
        <w:t>’</w:t>
      </w:r>
      <w:r>
        <w:t xml:space="preserve">approche communautaire, notamment </w:t>
      </w:r>
      <w:r w:rsidR="001F66D6">
        <w:t xml:space="preserve">avec une </w:t>
      </w:r>
      <w:r>
        <w:t xml:space="preserve">participation plus large des communautés </w:t>
      </w:r>
      <w:r w:rsidR="001F66D6">
        <w:t>dans</w:t>
      </w:r>
      <w:r>
        <w:t xml:space="preserve"> la prise de décision et respect</w:t>
      </w:r>
      <w:r w:rsidR="00C812B1">
        <w:t>ant</w:t>
      </w:r>
      <w:r>
        <w:t xml:space="preserve"> </w:t>
      </w:r>
      <w:r w:rsidR="00C812B1">
        <w:t>le</w:t>
      </w:r>
      <w:r>
        <w:t>s droits des communautés. Les perspectives partagées lors de la conférence ont inspiré une approche holistique du patrimoine prenant en compte les relations étroites entre la nature et la culture, le matériel et l</w:t>
      </w:r>
      <w:r w:rsidR="000979F7">
        <w:t>’</w:t>
      </w:r>
      <w:r>
        <w:t>immatériel. La réunion a également été l</w:t>
      </w:r>
      <w:r w:rsidR="000979F7">
        <w:t>’</w:t>
      </w:r>
      <w:r>
        <w:t>occasion de discuter des enseignements tirés des réflexions menées à l</w:t>
      </w:r>
      <w:r w:rsidR="000979F7">
        <w:t>’</w:t>
      </w:r>
      <w:r>
        <w:t xml:space="preserve">occasion des </w:t>
      </w:r>
      <w:r w:rsidR="001F66D6">
        <w:t xml:space="preserve">50ème </w:t>
      </w:r>
      <w:r>
        <w:t xml:space="preserve">et </w:t>
      </w:r>
      <w:r w:rsidR="00DA4EFF">
        <w:t>20</w:t>
      </w:r>
      <w:r w:rsidR="001F66D6">
        <w:t>ème</w:t>
      </w:r>
      <w:r w:rsidR="00DA4EFF">
        <w:t xml:space="preserve"> </w:t>
      </w:r>
      <w:r>
        <w:t xml:space="preserve">anniversaires des </w:t>
      </w:r>
      <w:r w:rsidR="001F66D6">
        <w:t>C</w:t>
      </w:r>
      <w:r>
        <w:t>onventions de 1972 et 2003 respectivement, et d</w:t>
      </w:r>
      <w:r w:rsidR="000979F7">
        <w:t>’</w:t>
      </w:r>
      <w:r>
        <w:t xml:space="preserve">adopter </w:t>
      </w:r>
      <w:r w:rsidR="00C812B1">
        <w:t>l’</w:t>
      </w:r>
      <w:r>
        <w:t xml:space="preserve">appel à </w:t>
      </w:r>
      <w:r w:rsidR="00DA4EFF">
        <w:t>l’action</w:t>
      </w:r>
      <w:r w:rsidR="00130366">
        <w:t xml:space="preserve"> « </w:t>
      </w:r>
      <w:hyperlink r:id="rId18" w:history="1">
        <w:r>
          <w:rPr>
            <w:rStyle w:val="Lienhypertexte"/>
          </w:rPr>
          <w:t>L’esprit de Naples</w:t>
        </w:r>
      </w:hyperlink>
      <w:r w:rsidR="000979F7">
        <w:t> </w:t>
      </w:r>
      <w:r>
        <w:t>», qui énonce onze principes pour une vision prospective des politiques et des programmes de sauvegarde.</w:t>
      </w:r>
    </w:p>
    <w:p w14:paraId="0F2665DB" w14:textId="6A26E7A1" w:rsidR="00D44AC8" w:rsidRDefault="00D6530B" w:rsidP="00E431A5">
      <w:pPr>
        <w:pStyle w:val="COMPara"/>
        <w:ind w:left="567" w:hanging="567"/>
        <w:jc w:val="both"/>
      </w:pPr>
      <w:r>
        <w:t xml:space="preserve">Pour </w:t>
      </w:r>
      <w:r w:rsidR="00710AFF">
        <w:t xml:space="preserve">clôturer </w:t>
      </w:r>
      <w:r w:rsidR="00C8662F">
        <w:t xml:space="preserve">cette </w:t>
      </w:r>
      <w:r w:rsidR="00710AFF">
        <w:t xml:space="preserve">année anniversaire, un événement de célébration a eu lieu pendant la dix-huitième session du Comité à Kasane, République du Botswana, le </w:t>
      </w:r>
      <w:r w:rsidR="00DA4EFF">
        <w:t xml:space="preserve">7 </w:t>
      </w:r>
      <w:r w:rsidR="00710AFF">
        <w:t>décembre 2023. Cette session plénière a mis en lumière les principales réalisations de la Convention, abordant plusieurs études de cas illustrant diverses approches de sauvegarde. L</w:t>
      </w:r>
      <w:r w:rsidR="000979F7">
        <w:t>’</w:t>
      </w:r>
      <w:r w:rsidR="00710AFF">
        <w:t>événement a également accueilli de jeunes élèves de l</w:t>
      </w:r>
      <w:r w:rsidR="000979F7">
        <w:t>’</w:t>
      </w:r>
      <w:r w:rsidR="00710AFF">
        <w:t>école primaire de Mabele</w:t>
      </w:r>
      <w:r w:rsidR="008F0031">
        <w:t>,</w:t>
      </w:r>
      <w:r w:rsidR="00710AFF">
        <w:t xml:space="preserve"> qui ont fait une démonstration de danse Sepuru, </w:t>
      </w:r>
      <w:r w:rsidR="00CE29B9">
        <w:t xml:space="preserve">et </w:t>
      </w:r>
      <w:r w:rsidR="00710AFF">
        <w:t>un groupe de musique du peuple Nama de Namibie qui a présenté un spectacle coloré d</w:t>
      </w:r>
      <w:r w:rsidR="000979F7">
        <w:t>’</w:t>
      </w:r>
      <w:r w:rsidR="00710AFF">
        <w:t>Aboxan Musik ǀŌb ǂÂns tsî ǁKhasigu.</w:t>
      </w:r>
    </w:p>
    <w:p w14:paraId="68591A5B" w14:textId="45FF0034" w:rsidR="005364BF" w:rsidRPr="00091600" w:rsidRDefault="00091600" w:rsidP="005364BF">
      <w:pPr>
        <w:pStyle w:val="COMPara"/>
        <w:numPr>
          <w:ilvl w:val="0"/>
          <w:numId w:val="21"/>
        </w:numPr>
        <w:spacing w:before="240"/>
        <w:ind w:left="567" w:hanging="567"/>
        <w:jc w:val="both"/>
        <w:rPr>
          <w:b/>
          <w:bCs/>
        </w:rPr>
      </w:pPr>
      <w:r>
        <w:rPr>
          <w:b/>
        </w:rPr>
        <w:t>Perspectives d</w:t>
      </w:r>
      <w:r w:rsidR="000979F7">
        <w:rPr>
          <w:b/>
        </w:rPr>
        <w:t>’</w:t>
      </w:r>
      <w:r>
        <w:rPr>
          <w:b/>
        </w:rPr>
        <w:t>avenir</w:t>
      </w:r>
    </w:p>
    <w:p w14:paraId="5F467115" w14:textId="0DDDCE0B" w:rsidR="00091600" w:rsidRDefault="00091600" w:rsidP="00091600">
      <w:pPr>
        <w:pStyle w:val="COMPara"/>
        <w:ind w:left="567" w:hanging="567"/>
        <w:jc w:val="both"/>
      </w:pPr>
      <w:r>
        <w:t xml:space="preserve">Les événements et activités organisés dans le monde entier au cours de </w:t>
      </w:r>
      <w:r w:rsidR="00DA4EFF">
        <w:t xml:space="preserve">l’année </w:t>
      </w:r>
      <w:r>
        <w:t>2023 ont reflété l</w:t>
      </w:r>
      <w:r w:rsidR="000979F7">
        <w:t>’</w:t>
      </w:r>
      <w:r>
        <w:t>engagement et l</w:t>
      </w:r>
      <w:r w:rsidR="000979F7">
        <w:t>’</w:t>
      </w:r>
      <w:r>
        <w:t>enthousiasme des parties prenantes dans la poursuite de l</w:t>
      </w:r>
      <w:r w:rsidR="000979F7">
        <w:t>’</w:t>
      </w:r>
      <w:r>
        <w:t>objectif général de la Convention</w:t>
      </w:r>
      <w:r w:rsidR="00CE29B9">
        <w:t xml:space="preserve"> : </w:t>
      </w:r>
      <w:r>
        <w:t>sensibiliser à l</w:t>
      </w:r>
      <w:r w:rsidR="000979F7">
        <w:t>’</w:t>
      </w:r>
      <w:r>
        <w:t>importance du patrimoine culturel immatériel. L</w:t>
      </w:r>
      <w:r w:rsidR="000979F7">
        <w:t>’</w:t>
      </w:r>
      <w:r>
        <w:t xml:space="preserve">année anniversaire a permis aux </w:t>
      </w:r>
      <w:r w:rsidR="00CE29B9">
        <w:t>parties prenantes</w:t>
      </w:r>
      <w:r>
        <w:t xml:space="preserve"> de promouvoir les objectifs de la Convention, de faire le </w:t>
      </w:r>
      <w:r w:rsidR="000E6E4B">
        <w:t>bilan d</w:t>
      </w:r>
      <w:r>
        <w:t>es réalisations passées ainsi que d</w:t>
      </w:r>
      <w:r w:rsidR="000979F7">
        <w:t>’</w:t>
      </w:r>
      <w:r>
        <w:t>explorer le développement futur de la Convention. La campagne sur les réseaux sociaux a démontré l</w:t>
      </w:r>
      <w:r w:rsidR="000979F7">
        <w:t>’</w:t>
      </w:r>
      <w:r>
        <w:t>utilisation potentielle de la technologie pour la sauvegarde, ainsi que pour atteindre des publics jusqu</w:t>
      </w:r>
      <w:r w:rsidR="000979F7">
        <w:t>’</w:t>
      </w:r>
      <w:r>
        <w:t xml:space="preserve">alors inexploités, tels que les jeunes. Cet engagement accru a été </w:t>
      </w:r>
      <w:r w:rsidR="002F3CA4">
        <w:t xml:space="preserve">concrétisé par la décision </w:t>
      </w:r>
      <w:r>
        <w:t xml:space="preserve">de la </w:t>
      </w:r>
      <w:r w:rsidR="00B079E7">
        <w:t xml:space="preserve">42e </w:t>
      </w:r>
      <w:r>
        <w:t>session de la Conférence générale en novembre 2023, qui</w:t>
      </w:r>
      <w:r w:rsidR="002F3CA4" w:rsidRPr="002F3CA4">
        <w:t xml:space="preserve"> </w:t>
      </w:r>
      <w:r w:rsidR="002F3CA4">
        <w:t>a proclamé</w:t>
      </w:r>
      <w:r>
        <w:t xml:space="preserve">, dans le contexte du vingtième anniversaire de la Convention de 2003, le </w:t>
      </w:r>
      <w:r w:rsidR="00B079E7">
        <w:t xml:space="preserve">17 </w:t>
      </w:r>
      <w:r>
        <w:t>octobre Journée internationale du patrimoine culturel immatériel</w:t>
      </w:r>
      <w:r w:rsidR="00DA4EFF">
        <w:t xml:space="preserve"> </w:t>
      </w:r>
      <w:hyperlink r:id="rId19" w:history="1">
        <w:r w:rsidRPr="00905026">
          <w:rPr>
            <w:rStyle w:val="Lienhypertexte"/>
            <w:color w:val="auto"/>
            <w:u w:val="none"/>
          </w:rPr>
          <w:t>(</w:t>
        </w:r>
        <w:hyperlink r:id="rId20" w:history="1">
          <w:r w:rsidR="00905026">
            <w:rPr>
              <w:rStyle w:val="Lienhypertexte"/>
            </w:rPr>
            <w:t>42 C/Résolution 34</w:t>
          </w:r>
        </w:hyperlink>
      </w:hyperlink>
      <w:r>
        <w:t>).</w:t>
      </w:r>
    </w:p>
    <w:p w14:paraId="0FE558A0" w14:textId="6813AD06" w:rsidR="00E33C76" w:rsidRDefault="00E33C76" w:rsidP="00E33C76">
      <w:pPr>
        <w:pStyle w:val="COMPara"/>
        <w:ind w:left="567" w:hanging="567"/>
        <w:jc w:val="both"/>
      </w:pPr>
      <w:r>
        <w:t xml:space="preserve">Les réseaux </w:t>
      </w:r>
      <w:r w:rsidR="0072717A">
        <w:t>formés</w:t>
      </w:r>
      <w:r>
        <w:t xml:space="preserve"> autour de la Convention qui </w:t>
      </w:r>
      <w:r w:rsidR="0072717A">
        <w:t xml:space="preserve">constituent </w:t>
      </w:r>
      <w:r>
        <w:t>la «</w:t>
      </w:r>
      <w:r w:rsidR="000979F7">
        <w:t> </w:t>
      </w:r>
      <w:r>
        <w:t>famille du patrimoine vivant</w:t>
      </w:r>
      <w:r w:rsidR="000979F7">
        <w:t> </w:t>
      </w:r>
      <w:r>
        <w:t xml:space="preserve">» </w:t>
      </w:r>
      <w:r w:rsidR="006B6174">
        <w:t xml:space="preserve">se distinguent en effet comme </w:t>
      </w:r>
      <w:r>
        <w:t xml:space="preserve">un </w:t>
      </w:r>
      <w:r w:rsidR="0072717A">
        <w:t xml:space="preserve">aboutissement </w:t>
      </w:r>
      <w:r>
        <w:t>majeur de</w:t>
      </w:r>
      <w:r w:rsidR="0072717A">
        <w:t xml:space="preserve"> ce</w:t>
      </w:r>
      <w:r>
        <w:t xml:space="preserve">s vingt dernières années. </w:t>
      </w:r>
      <w:r w:rsidR="009947DE">
        <w:t>À</w:t>
      </w:r>
      <w:r w:rsidR="006B6174">
        <w:t xml:space="preserve"> l’avenir</w:t>
      </w:r>
      <w:r w:rsidR="0072717A">
        <w:t xml:space="preserve">, </w:t>
      </w:r>
      <w:r>
        <w:t xml:space="preserve">la mise en œuvre </w:t>
      </w:r>
      <w:r w:rsidR="006B6174">
        <w:t xml:space="preserve">continue </w:t>
      </w:r>
      <w:r>
        <w:t xml:space="preserve">de la Convention bénéficiera du soutien et de la coopération de ces parties prenantes </w:t>
      </w:r>
      <w:r w:rsidR="00E26C99">
        <w:t>à travers le</w:t>
      </w:r>
      <w:r w:rsidR="006B6174">
        <w:t xml:space="preserve"> </w:t>
      </w:r>
      <w:r>
        <w:t>monde, alors qu</w:t>
      </w:r>
      <w:r w:rsidR="000979F7">
        <w:t>’</w:t>
      </w:r>
      <w:r>
        <w:t>elles travaillent ensemble à la réalisation des orientations futures explorées au cours de l</w:t>
      </w:r>
      <w:r w:rsidR="000979F7">
        <w:t>’</w:t>
      </w:r>
      <w:r>
        <w:t xml:space="preserve">année anniversaire, comme le souligne la déclaration sur la </w:t>
      </w:r>
      <w:r w:rsidR="006B6174">
        <w:t>V</w:t>
      </w:r>
      <w:r>
        <w:t>ision de Séoul. Ce réseau solide consolidé au cours de</w:t>
      </w:r>
      <w:r w:rsidR="00E26C99">
        <w:t>s</w:t>
      </w:r>
      <w:r>
        <w:t xml:space="preserve"> année</w:t>
      </w:r>
      <w:r w:rsidR="00E26C99">
        <w:t>s</w:t>
      </w:r>
      <w:r>
        <w:t xml:space="preserve">, est désormais composé de </w:t>
      </w:r>
      <w:r w:rsidR="00B079E7">
        <w:t xml:space="preserve">183 </w:t>
      </w:r>
      <w:r>
        <w:t xml:space="preserve">États parties et communautés pratiquant </w:t>
      </w:r>
      <w:r w:rsidR="00B079E7">
        <w:t>730</w:t>
      </w:r>
      <w:r w:rsidR="009947DE">
        <w:t> </w:t>
      </w:r>
      <w:r>
        <w:t xml:space="preserve">éléments inscrits sur les listes, ainsi que de </w:t>
      </w:r>
      <w:r w:rsidR="00B079E7">
        <w:t xml:space="preserve">206 </w:t>
      </w:r>
      <w:r>
        <w:t>ONG accréditées sous l</w:t>
      </w:r>
      <w:r w:rsidR="000979F7">
        <w:t>’</w:t>
      </w:r>
      <w:r>
        <w:t xml:space="preserve">égide du Forum des ONG du PCI, un réseau mondial de facilitateurs composé de </w:t>
      </w:r>
      <w:r w:rsidR="00B079E7">
        <w:t xml:space="preserve">255 </w:t>
      </w:r>
      <w:r>
        <w:t xml:space="preserve">membres, </w:t>
      </w:r>
      <w:r w:rsidR="00B079E7">
        <w:t xml:space="preserve">19 </w:t>
      </w:r>
      <w:r>
        <w:t xml:space="preserve">chaires UNESCO et réseaux UNITWIN, et huit centres de </w:t>
      </w:r>
      <w:r w:rsidR="00B079E7">
        <w:t xml:space="preserve">catégorie </w:t>
      </w:r>
      <w:r>
        <w:t xml:space="preserve">2 placés sous </w:t>
      </w:r>
      <w:r w:rsidR="006B6174">
        <w:t xml:space="preserve">les auspices </w:t>
      </w:r>
      <w:r>
        <w:t>de l</w:t>
      </w:r>
      <w:r w:rsidR="000979F7">
        <w:t>’</w:t>
      </w:r>
      <w:r>
        <w:t>UNESCO.</w:t>
      </w:r>
    </w:p>
    <w:p w14:paraId="6F27FD2F" w14:textId="7CB8D18F" w:rsidR="00EA121D" w:rsidRPr="000423FE" w:rsidRDefault="005C792B" w:rsidP="000423FE">
      <w:pPr>
        <w:pStyle w:val="COMPara"/>
        <w:ind w:left="567" w:hanging="567"/>
      </w:pPr>
      <w:r>
        <w:t xml:space="preserve">L’Assemblée générale souhaitera peut-être adopter la résolution </w:t>
      </w:r>
      <w:r w:rsidR="00B079E7">
        <w:t xml:space="preserve">suivante </w:t>
      </w:r>
      <w:r>
        <w:t>:</w:t>
      </w:r>
    </w:p>
    <w:p w14:paraId="6CEB1E9D" w14:textId="3797C528" w:rsidR="00D95C4C" w:rsidRPr="00BB6EEC" w:rsidRDefault="004A34A0" w:rsidP="001D14FE">
      <w:pPr>
        <w:pStyle w:val="COMTitleDecision"/>
        <w:rPr>
          <w:rFonts w:eastAsia="SimSun"/>
        </w:rPr>
      </w:pPr>
      <w:r>
        <w:lastRenderedPageBreak/>
        <w:t xml:space="preserve">PROJET DE </w:t>
      </w:r>
      <w:r w:rsidR="00B079E7">
        <w:t xml:space="preserve">RÉSOLUTION </w:t>
      </w:r>
      <w:r>
        <w:t>10.</w:t>
      </w:r>
      <w:r w:rsidR="00B079E7">
        <w:t xml:space="preserve">GA </w:t>
      </w:r>
      <w:r>
        <w:t>10</w:t>
      </w:r>
    </w:p>
    <w:p w14:paraId="13024F0B" w14:textId="4A63B658" w:rsidR="00D95C4C" w:rsidRPr="00BB6EEC" w:rsidRDefault="005C792B" w:rsidP="00285BB4">
      <w:pPr>
        <w:pStyle w:val="COMPreambulaDecisions"/>
        <w:rPr>
          <w:rFonts w:eastAsia="SimSun"/>
        </w:rPr>
      </w:pPr>
      <w:r>
        <w:t>L</w:t>
      </w:r>
      <w:r w:rsidR="000979F7">
        <w:t>’</w:t>
      </w:r>
      <w:r>
        <w:t>Assemblée générale,</w:t>
      </w:r>
    </w:p>
    <w:p w14:paraId="5A9F22F3" w14:textId="4E42BA93" w:rsidR="0057439C" w:rsidRPr="00BB6EEC" w:rsidRDefault="00D95C4C" w:rsidP="00130366">
      <w:pPr>
        <w:pStyle w:val="COMParaDecision"/>
      </w:pPr>
      <w:r>
        <w:t>Ayant examiné</w:t>
      </w:r>
      <w:r w:rsidRPr="008F0031">
        <w:rPr>
          <w:u w:val="none"/>
        </w:rPr>
        <w:t xml:space="preserve"> </w:t>
      </w:r>
      <w:r>
        <w:rPr>
          <w:u w:val="none"/>
        </w:rPr>
        <w:t>le document LHE/24/10.GA/10,</w:t>
      </w:r>
    </w:p>
    <w:p w14:paraId="260CA8D5" w14:textId="6E2536EA" w:rsidR="0057439C" w:rsidRPr="005C792B" w:rsidRDefault="0057439C" w:rsidP="00130366">
      <w:pPr>
        <w:pStyle w:val="COMParaDecision"/>
      </w:pPr>
      <w:r>
        <w:t>Rappelant</w:t>
      </w:r>
      <w:r w:rsidRPr="008F0031">
        <w:rPr>
          <w:u w:val="none"/>
        </w:rPr>
        <w:t xml:space="preserve"> </w:t>
      </w:r>
      <w:r>
        <w:rPr>
          <w:rStyle w:val="Lienhypertexte"/>
          <w:color w:val="auto"/>
          <w:u w:val="none"/>
        </w:rPr>
        <w:t>la</w:t>
      </w:r>
      <w:r>
        <w:rPr>
          <w:u w:val="none"/>
        </w:rPr>
        <w:t xml:space="preserve"> </w:t>
      </w:r>
      <w:r w:rsidR="00B079E7">
        <w:rPr>
          <w:u w:val="none"/>
        </w:rPr>
        <w:t xml:space="preserve">résolution </w:t>
      </w:r>
      <w:hyperlink r:id="rId21" w:history="1">
        <w:r>
          <w:rPr>
            <w:rStyle w:val="Lienhypertexte"/>
          </w:rPr>
          <w:t>9.</w:t>
        </w:r>
        <w:r w:rsidR="00B079E7">
          <w:rPr>
            <w:rStyle w:val="Lienhypertexte"/>
          </w:rPr>
          <w:t xml:space="preserve">GA </w:t>
        </w:r>
        <w:r>
          <w:rPr>
            <w:rStyle w:val="Lienhypertexte"/>
          </w:rPr>
          <w:t>13</w:t>
        </w:r>
      </w:hyperlink>
      <w:r>
        <w:rPr>
          <w:u w:val="none"/>
        </w:rPr>
        <w:t xml:space="preserve"> et la </w:t>
      </w:r>
      <w:r w:rsidR="00B079E7">
        <w:rPr>
          <w:u w:val="none"/>
        </w:rPr>
        <w:t xml:space="preserve">décision </w:t>
      </w:r>
      <w:hyperlink r:id="rId22" w:history="1">
        <w:r>
          <w:rPr>
            <w:rStyle w:val="Lienhypertexte"/>
          </w:rPr>
          <w:t>18.COM 6</w:t>
        </w:r>
        <w:r w:rsidRPr="00905026">
          <w:rPr>
            <w:rStyle w:val="Lienhypertexte"/>
            <w:color w:val="auto"/>
            <w:u w:val="none"/>
          </w:rPr>
          <w:t>,</w:t>
        </w:r>
      </w:hyperlink>
    </w:p>
    <w:p w14:paraId="26AA27DD" w14:textId="6ED606D4" w:rsidR="005C792B" w:rsidRPr="00345CB4" w:rsidRDefault="005C792B" w:rsidP="00905026">
      <w:pPr>
        <w:pStyle w:val="COMParaDecision"/>
      </w:pPr>
      <w:r>
        <w:t xml:space="preserve">Rappelant </w:t>
      </w:r>
      <w:r w:rsidR="00130366">
        <w:t>en outre</w:t>
      </w:r>
      <w:r w:rsidR="00130366">
        <w:rPr>
          <w:u w:val="none"/>
        </w:rPr>
        <w:t xml:space="preserve"> </w:t>
      </w:r>
      <w:r>
        <w:rPr>
          <w:u w:val="none"/>
        </w:rPr>
        <w:t xml:space="preserve">le document </w:t>
      </w:r>
      <w:hyperlink r:id="rId23" w:history="1">
        <w:r>
          <w:rPr>
            <w:rStyle w:val="Lienhypertexte"/>
          </w:rPr>
          <w:t>42 C/</w:t>
        </w:r>
        <w:r w:rsidR="00BF5C3A">
          <w:rPr>
            <w:rStyle w:val="Lienhypertexte"/>
          </w:rPr>
          <w:t>R</w:t>
        </w:r>
        <w:r w:rsidR="00B079E7">
          <w:rPr>
            <w:rStyle w:val="Lienhypertexte"/>
          </w:rPr>
          <w:t xml:space="preserve">ésolution </w:t>
        </w:r>
        <w:r>
          <w:rPr>
            <w:rStyle w:val="Lienhypertexte"/>
          </w:rPr>
          <w:t>34</w:t>
        </w:r>
      </w:hyperlink>
      <w:r>
        <w:rPr>
          <w:u w:val="none"/>
        </w:rPr>
        <w:t xml:space="preserve"> de la Conférence générale de l</w:t>
      </w:r>
      <w:r w:rsidR="000979F7">
        <w:rPr>
          <w:u w:val="none"/>
        </w:rPr>
        <w:t>’</w:t>
      </w:r>
      <w:r>
        <w:rPr>
          <w:u w:val="none"/>
        </w:rPr>
        <w:t>UNESCO</w:t>
      </w:r>
      <w:r w:rsidRPr="00905026">
        <w:rPr>
          <w:u w:val="none"/>
        </w:rPr>
        <w:t>,</w:t>
      </w:r>
    </w:p>
    <w:p w14:paraId="64535288" w14:textId="1E77A67A" w:rsidR="00DC1332" w:rsidRPr="00BC39DE" w:rsidRDefault="007F75E9" w:rsidP="00130366">
      <w:pPr>
        <w:pStyle w:val="COMParaDecision"/>
      </w:pPr>
      <w:r>
        <w:t>Se félicite</w:t>
      </w:r>
      <w:r w:rsidRPr="008F0031">
        <w:rPr>
          <w:u w:val="none"/>
        </w:rPr>
        <w:t xml:space="preserve"> de</w:t>
      </w:r>
      <w:r>
        <w:rPr>
          <w:u w:val="none"/>
        </w:rPr>
        <w:t xml:space="preserve"> la proclamation du </w:t>
      </w:r>
      <w:r w:rsidR="00B079E7">
        <w:rPr>
          <w:u w:val="none"/>
        </w:rPr>
        <w:t xml:space="preserve">17 </w:t>
      </w:r>
      <w:r>
        <w:rPr>
          <w:u w:val="none"/>
        </w:rPr>
        <w:t>octobre comme Journée internationale du patrimoine culturel immatériel</w:t>
      </w:r>
      <w:r w:rsidR="000979F7" w:rsidRPr="008F0031">
        <w:rPr>
          <w:u w:val="none"/>
        </w:rPr>
        <w:t> </w:t>
      </w:r>
      <w:r w:rsidRPr="008F0031">
        <w:rPr>
          <w:u w:val="none"/>
        </w:rPr>
        <w:t>;</w:t>
      </w:r>
    </w:p>
    <w:p w14:paraId="067DE13F" w14:textId="75B43FA1" w:rsidR="00E3435D" w:rsidRDefault="00130366" w:rsidP="00E3435D">
      <w:pPr>
        <w:pStyle w:val="COMParaDecision"/>
        <w:rPr>
          <w:u w:val="none"/>
        </w:rPr>
      </w:pPr>
      <w:r>
        <w:t>Salue</w:t>
      </w:r>
      <w:r w:rsidR="002F4748">
        <w:rPr>
          <w:u w:val="none"/>
        </w:rPr>
        <w:t xml:space="preserve"> l</w:t>
      </w:r>
      <w:r w:rsidR="00DE4387">
        <w:rPr>
          <w:u w:val="none"/>
        </w:rPr>
        <w:t xml:space="preserve">es activités entreprises </w:t>
      </w:r>
      <w:r>
        <w:rPr>
          <w:u w:val="none"/>
        </w:rPr>
        <w:t xml:space="preserve">dans </w:t>
      </w:r>
      <w:r w:rsidR="00DE4387">
        <w:rPr>
          <w:u w:val="none"/>
        </w:rPr>
        <w:t xml:space="preserve">tous les groupes électoraux, aux niveaux national, régional et international, dans le cadre de la célébration du vingtième anniversaire de la </w:t>
      </w:r>
      <w:r>
        <w:rPr>
          <w:u w:val="none"/>
        </w:rPr>
        <w:t>C</w:t>
      </w:r>
      <w:r w:rsidR="00DE4387">
        <w:rPr>
          <w:u w:val="none"/>
        </w:rPr>
        <w:t xml:space="preserve">onvention, </w:t>
      </w:r>
      <w:r>
        <w:rPr>
          <w:u w:val="none"/>
        </w:rPr>
        <w:t xml:space="preserve">y compris </w:t>
      </w:r>
      <w:r w:rsidR="00DE4387">
        <w:rPr>
          <w:u w:val="none"/>
        </w:rPr>
        <w:t>les conférences, les festivals, les réunions d</w:t>
      </w:r>
      <w:r w:rsidR="000979F7">
        <w:rPr>
          <w:u w:val="none"/>
        </w:rPr>
        <w:t>’</w:t>
      </w:r>
      <w:r w:rsidR="00DE4387">
        <w:rPr>
          <w:u w:val="none"/>
        </w:rPr>
        <w:t>experts, les expositions, les publications et les campagnes de sensibilisation, entre</w:t>
      </w:r>
      <w:r w:rsidR="000979F7">
        <w:rPr>
          <w:u w:val="none"/>
        </w:rPr>
        <w:t xml:space="preserve"> </w:t>
      </w:r>
      <w:r w:rsidR="000979F7" w:rsidRPr="00905026">
        <w:rPr>
          <w:u w:val="none"/>
        </w:rPr>
        <w:t>autr</w:t>
      </w:r>
      <w:r w:rsidR="00DE4387" w:rsidRPr="00905026">
        <w:rPr>
          <w:u w:val="none"/>
        </w:rPr>
        <w:t>es</w:t>
      </w:r>
      <w:r w:rsidR="000979F7" w:rsidRPr="008F0031">
        <w:rPr>
          <w:u w:val="none"/>
        </w:rPr>
        <w:t> </w:t>
      </w:r>
      <w:r w:rsidR="00DE4387" w:rsidRPr="008F0031">
        <w:rPr>
          <w:u w:val="none"/>
        </w:rPr>
        <w:t>;</w:t>
      </w:r>
    </w:p>
    <w:p w14:paraId="6D848E82" w14:textId="67962DBB" w:rsidR="00DE4387" w:rsidRPr="008540F9" w:rsidRDefault="00DE4387" w:rsidP="00DE4387">
      <w:pPr>
        <w:pStyle w:val="COMParaDecision"/>
        <w:rPr>
          <w:u w:val="none"/>
        </w:rPr>
      </w:pPr>
      <w:r w:rsidRPr="002F4748">
        <w:t>Exprime</w:t>
      </w:r>
      <w:r w:rsidRPr="00905026">
        <w:t xml:space="preserve"> sa gratitude</w:t>
      </w:r>
      <w:r>
        <w:rPr>
          <w:u w:val="none"/>
        </w:rPr>
        <w:t xml:space="preserve"> à la République de Corée pour avoir accueilli à Séoul la réunion mondiale organisée à l</w:t>
      </w:r>
      <w:r w:rsidR="000979F7">
        <w:rPr>
          <w:u w:val="none"/>
        </w:rPr>
        <w:t>’</w:t>
      </w:r>
      <w:r>
        <w:rPr>
          <w:u w:val="none"/>
        </w:rPr>
        <w:t xml:space="preserve">occasion du vingtième anniversaire de la </w:t>
      </w:r>
      <w:r w:rsidR="00130366">
        <w:rPr>
          <w:u w:val="none"/>
        </w:rPr>
        <w:t>C</w:t>
      </w:r>
      <w:r>
        <w:rPr>
          <w:u w:val="none"/>
        </w:rPr>
        <w:t xml:space="preserve">onvention de 2003 et </w:t>
      </w:r>
      <w:r w:rsidR="00130366">
        <w:t>se félicite</w:t>
      </w:r>
      <w:r w:rsidR="00D55B1F" w:rsidRPr="00D55B1F">
        <w:rPr>
          <w:u w:val="none"/>
        </w:rPr>
        <w:t xml:space="preserve"> </w:t>
      </w:r>
      <w:r w:rsidRPr="008F0031">
        <w:rPr>
          <w:u w:val="none"/>
        </w:rPr>
        <w:t>des</w:t>
      </w:r>
      <w:r>
        <w:rPr>
          <w:u w:val="none"/>
        </w:rPr>
        <w:t xml:space="preserve"> domaines d</w:t>
      </w:r>
      <w:r w:rsidR="000979F7">
        <w:rPr>
          <w:u w:val="none"/>
        </w:rPr>
        <w:t>’</w:t>
      </w:r>
      <w:r>
        <w:rPr>
          <w:u w:val="none"/>
        </w:rPr>
        <w:t>action future mis en évidence dans la «</w:t>
      </w:r>
      <w:r w:rsidR="000979F7">
        <w:rPr>
          <w:u w:val="none"/>
        </w:rPr>
        <w:t> </w:t>
      </w:r>
      <w:r>
        <w:rPr>
          <w:u w:val="none"/>
        </w:rPr>
        <w:t>Vision de Séoul pour l</w:t>
      </w:r>
      <w:r w:rsidR="000979F7">
        <w:rPr>
          <w:u w:val="none"/>
        </w:rPr>
        <w:t>’</w:t>
      </w:r>
      <w:r>
        <w:rPr>
          <w:u w:val="none"/>
        </w:rPr>
        <w:t>avenir de la sauvegarde du patrimoine vivant au service du développement durable et de la paix</w:t>
      </w:r>
      <w:r w:rsidR="000979F7">
        <w:rPr>
          <w:u w:val="none"/>
        </w:rPr>
        <w:t> </w:t>
      </w:r>
      <w:r>
        <w:rPr>
          <w:u w:val="none"/>
        </w:rPr>
        <w:t>»</w:t>
      </w:r>
      <w:r w:rsidR="000979F7">
        <w:rPr>
          <w:u w:val="none"/>
        </w:rPr>
        <w:t> </w:t>
      </w:r>
      <w:r w:rsidRPr="008F0031">
        <w:rPr>
          <w:u w:val="none"/>
        </w:rPr>
        <w:t>;</w:t>
      </w:r>
    </w:p>
    <w:p w14:paraId="115C04EB" w14:textId="74A5565D" w:rsidR="00DE4387" w:rsidRDefault="00DE4387" w:rsidP="00DE4387">
      <w:pPr>
        <w:pStyle w:val="COMParaDecision"/>
        <w:rPr>
          <w:u w:val="none"/>
        </w:rPr>
      </w:pPr>
      <w:r>
        <w:t>Exprime également sa gratitude</w:t>
      </w:r>
      <w:r>
        <w:rPr>
          <w:u w:val="none"/>
        </w:rPr>
        <w:t xml:space="preserve"> à l</w:t>
      </w:r>
      <w:r w:rsidR="000979F7">
        <w:rPr>
          <w:u w:val="none"/>
        </w:rPr>
        <w:t>’</w:t>
      </w:r>
      <w:r>
        <w:rPr>
          <w:u w:val="none"/>
        </w:rPr>
        <w:t xml:space="preserve">Italie pour avoir accueilli la </w:t>
      </w:r>
      <w:r w:rsidR="00017382">
        <w:rPr>
          <w:u w:val="none"/>
        </w:rPr>
        <w:t>C</w:t>
      </w:r>
      <w:r>
        <w:rPr>
          <w:u w:val="none"/>
        </w:rPr>
        <w:t xml:space="preserve">onférence de Naples sur le patrimoine culturel au </w:t>
      </w:r>
      <w:r w:rsidR="00B079E7">
        <w:rPr>
          <w:u w:val="none"/>
        </w:rPr>
        <w:t xml:space="preserve">21ème </w:t>
      </w:r>
      <w:r>
        <w:rPr>
          <w:u w:val="none"/>
        </w:rPr>
        <w:t xml:space="preserve">siècle et </w:t>
      </w:r>
      <w:r>
        <w:t>se félicite</w:t>
      </w:r>
      <w:r w:rsidR="00130366">
        <w:t xml:space="preserve"> en outre</w:t>
      </w:r>
      <w:r w:rsidRPr="008F0031">
        <w:rPr>
          <w:u w:val="none"/>
        </w:rPr>
        <w:t xml:space="preserve"> de l</w:t>
      </w:r>
      <w:r w:rsidR="000979F7" w:rsidRPr="008F0031">
        <w:rPr>
          <w:u w:val="none"/>
        </w:rPr>
        <w:t>’</w:t>
      </w:r>
      <w:r w:rsidRPr="008F0031">
        <w:rPr>
          <w:u w:val="none"/>
        </w:rPr>
        <w:t xml:space="preserve">appel </w:t>
      </w:r>
      <w:r>
        <w:rPr>
          <w:u w:val="none"/>
        </w:rPr>
        <w:t>à l</w:t>
      </w:r>
      <w:r w:rsidR="000979F7">
        <w:rPr>
          <w:u w:val="none"/>
        </w:rPr>
        <w:t>’</w:t>
      </w:r>
      <w:r>
        <w:rPr>
          <w:u w:val="none"/>
        </w:rPr>
        <w:t>action qui en a résulté, lequel énonce onze grands principes visant à garantir une vision prospective de la sauvegarde du patrimoine</w:t>
      </w:r>
      <w:r w:rsidR="000979F7" w:rsidRPr="008F0031">
        <w:rPr>
          <w:u w:val="none"/>
        </w:rPr>
        <w:t> </w:t>
      </w:r>
      <w:r w:rsidRPr="008F0031">
        <w:rPr>
          <w:u w:val="none"/>
        </w:rPr>
        <w:t>;</w:t>
      </w:r>
    </w:p>
    <w:p w14:paraId="3AEB4D04" w14:textId="44A16654" w:rsidR="00525039" w:rsidRPr="00525039" w:rsidRDefault="00525039" w:rsidP="00525039">
      <w:pPr>
        <w:pStyle w:val="COMParaDecision"/>
        <w:rPr>
          <w:u w:val="none"/>
        </w:rPr>
      </w:pPr>
      <w:r w:rsidRPr="00905026">
        <w:t xml:space="preserve">Exprime </w:t>
      </w:r>
      <w:r w:rsidR="00130366">
        <w:t>en outre</w:t>
      </w:r>
      <w:r w:rsidRPr="00905026">
        <w:t xml:space="preserve"> sa gratitude</w:t>
      </w:r>
      <w:r w:rsidRPr="00525039">
        <w:rPr>
          <w:u w:val="none"/>
        </w:rPr>
        <w:t xml:space="preserve"> aux États parties d'Amérique latine et des Caraïbes pour les initiatives régionales reflétant les réalisations et les développements futurs de la Convention, incluant une conférence tenue au siège de l'UNESCO, une réunion d'experts organisée au Pérou en coopération avec le centre de catégorie 2 CRESPIAL, et le lancement d</w:t>
      </w:r>
      <w:r w:rsidR="006A63BC">
        <w:rPr>
          <w:u w:val="none"/>
        </w:rPr>
        <w:t>’</w:t>
      </w:r>
      <w:r w:rsidRPr="00525039">
        <w:rPr>
          <w:u w:val="none"/>
        </w:rPr>
        <w:t>une publication compilant les résultats de la réflexion régionale</w:t>
      </w:r>
      <w:r w:rsidR="00742399">
        <w:rPr>
          <w:u w:val="none"/>
        </w:rPr>
        <w:t xml:space="preserve"> </w:t>
      </w:r>
      <w:r>
        <w:rPr>
          <w:u w:val="none"/>
        </w:rPr>
        <w:t>;</w:t>
      </w:r>
    </w:p>
    <w:p w14:paraId="5713A973" w14:textId="44AFCA0D" w:rsidR="00E3435D" w:rsidRDefault="00DE4387" w:rsidP="00E3435D">
      <w:pPr>
        <w:pStyle w:val="COMParaDecision"/>
        <w:rPr>
          <w:u w:val="none"/>
        </w:rPr>
      </w:pPr>
      <w:r>
        <w:t>Remercie</w:t>
      </w:r>
      <w:r>
        <w:rPr>
          <w:u w:val="none"/>
        </w:rPr>
        <w:t xml:space="preserve"> les États parties qui ont généreusement apporté un soutien extrabudgétaire ou en nature à la célébration du vingtième anniversaire de la </w:t>
      </w:r>
      <w:r w:rsidR="00525039">
        <w:rPr>
          <w:u w:val="none"/>
        </w:rPr>
        <w:t>C</w:t>
      </w:r>
      <w:r>
        <w:rPr>
          <w:u w:val="none"/>
        </w:rPr>
        <w:t>onvention</w:t>
      </w:r>
      <w:r w:rsidR="000979F7" w:rsidRPr="008F0031">
        <w:rPr>
          <w:u w:val="none"/>
        </w:rPr>
        <w:t> </w:t>
      </w:r>
      <w:r w:rsidRPr="008F0031">
        <w:rPr>
          <w:u w:val="none"/>
        </w:rPr>
        <w:t>;</w:t>
      </w:r>
    </w:p>
    <w:p w14:paraId="7CB47518" w14:textId="4B08E586" w:rsidR="0051321C" w:rsidRPr="007E1B3A" w:rsidRDefault="00D55B1F" w:rsidP="0051321C">
      <w:pPr>
        <w:pStyle w:val="COMParaDecision"/>
      </w:pPr>
      <w:r w:rsidRPr="00D55B1F">
        <w:t>Exprime ses remerciements</w:t>
      </w:r>
      <w:r w:rsidRPr="00905026">
        <w:rPr>
          <w:u w:val="none"/>
        </w:rPr>
        <w:t xml:space="preserve"> au</w:t>
      </w:r>
      <w:r>
        <w:rPr>
          <w:u w:val="none"/>
        </w:rPr>
        <w:t xml:space="preserve"> </w:t>
      </w:r>
      <w:r w:rsidR="0051321C" w:rsidRPr="00D55B1F">
        <w:rPr>
          <w:u w:val="none"/>
        </w:rPr>
        <w:t>Secrétariat</w:t>
      </w:r>
      <w:r w:rsidR="0051321C">
        <w:rPr>
          <w:u w:val="none"/>
        </w:rPr>
        <w:t xml:space="preserve">, </w:t>
      </w:r>
      <w:r>
        <w:rPr>
          <w:u w:val="none"/>
        </w:rPr>
        <w:t xml:space="preserve">à </w:t>
      </w:r>
      <w:r w:rsidR="0051321C">
        <w:rPr>
          <w:u w:val="none"/>
        </w:rPr>
        <w:t xml:space="preserve">tous les États parties, </w:t>
      </w:r>
      <w:r>
        <w:rPr>
          <w:u w:val="none"/>
        </w:rPr>
        <w:t xml:space="preserve">aux </w:t>
      </w:r>
      <w:r w:rsidR="0051321C">
        <w:rPr>
          <w:u w:val="none"/>
        </w:rPr>
        <w:t>communautés ainsi qu</w:t>
      </w:r>
      <w:r>
        <w:rPr>
          <w:u w:val="none"/>
        </w:rPr>
        <w:t>’aux</w:t>
      </w:r>
      <w:r w:rsidR="0051321C">
        <w:rPr>
          <w:u w:val="none"/>
        </w:rPr>
        <w:t xml:space="preserve"> autres parties prenantes pour leur participation active à la célébration tout au long de l</w:t>
      </w:r>
      <w:r w:rsidR="000979F7">
        <w:rPr>
          <w:u w:val="none"/>
        </w:rPr>
        <w:t>’</w:t>
      </w:r>
      <w:r w:rsidR="0051321C">
        <w:rPr>
          <w:u w:val="none"/>
        </w:rPr>
        <w:t>année anniversaire, notamment en promouvant les objectifs de la Convention, en faisant le point sur les réalisations passées et en explorant le développement futur de la Convention</w:t>
      </w:r>
      <w:r w:rsidR="0051321C" w:rsidRPr="008F0031">
        <w:rPr>
          <w:u w:val="none"/>
        </w:rPr>
        <w:t>.</w:t>
      </w:r>
    </w:p>
    <w:p w14:paraId="23366B11" w14:textId="3AE34488" w:rsidR="00AF3FF2" w:rsidRDefault="00AF3FF2" w:rsidP="00DE4D42">
      <w:pPr>
        <w:pStyle w:val="COMParaDecision"/>
        <w:numPr>
          <w:ilvl w:val="0"/>
          <w:numId w:val="0"/>
        </w:numPr>
        <w:ind w:left="1134" w:hanging="567"/>
      </w:pPr>
    </w:p>
    <w:sectPr w:rsidR="00AF3FF2" w:rsidSect="00A4457D">
      <w:headerReference w:type="even" r:id="rId24"/>
      <w:headerReference w:type="default" r:id="rId25"/>
      <w:headerReference w:type="first" r:id="rId26"/>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3FC98" w14:textId="77777777" w:rsidR="00A4457D" w:rsidRDefault="00A4457D" w:rsidP="00655736">
      <w:r>
        <w:separator/>
      </w:r>
    </w:p>
  </w:endnote>
  <w:endnote w:type="continuationSeparator" w:id="0">
    <w:p w14:paraId="436D027E" w14:textId="77777777" w:rsidR="00A4457D" w:rsidRDefault="00A4457D"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05287" w14:textId="77777777" w:rsidR="00A4457D" w:rsidRDefault="00A4457D" w:rsidP="00655736">
      <w:r>
        <w:separator/>
      </w:r>
    </w:p>
  </w:footnote>
  <w:footnote w:type="continuationSeparator" w:id="0">
    <w:p w14:paraId="7A01AECE" w14:textId="77777777" w:rsidR="00A4457D" w:rsidRDefault="00A4457D" w:rsidP="00655736">
      <w:r>
        <w:continuationSeparator/>
      </w:r>
    </w:p>
  </w:footnote>
  <w:footnote w:id="1">
    <w:p w14:paraId="3A366913" w14:textId="55E1ABC0" w:rsidR="00017478" w:rsidRPr="00905026" w:rsidRDefault="00017478" w:rsidP="00D5697E">
      <w:pPr>
        <w:pStyle w:val="Notedebasdepage"/>
        <w:ind w:left="284" w:hanging="284"/>
        <w:jc w:val="both"/>
        <w:rPr>
          <w:rFonts w:asciiTheme="minorBidi" w:hAnsiTheme="minorBidi" w:cstheme="minorBidi"/>
          <w:sz w:val="18"/>
          <w:szCs w:val="18"/>
        </w:rPr>
      </w:pPr>
      <w:r w:rsidRPr="009947DE">
        <w:rPr>
          <w:rStyle w:val="Appelnotedebasdep"/>
          <w:rFonts w:asciiTheme="minorBidi" w:hAnsiTheme="minorBidi" w:cstheme="minorBidi"/>
          <w:sz w:val="18"/>
          <w:szCs w:val="18"/>
        </w:rPr>
        <w:footnoteRef/>
      </w:r>
      <w:r w:rsidR="009947DE" w:rsidRPr="009947DE">
        <w:rPr>
          <w:rFonts w:asciiTheme="minorBidi" w:hAnsiTheme="minorBidi" w:cstheme="minorBidi"/>
          <w:sz w:val="18"/>
          <w:szCs w:val="18"/>
          <w:vertAlign w:val="superscript"/>
        </w:rPr>
        <w:t>.</w:t>
      </w:r>
      <w:r w:rsidR="00E44F03" w:rsidRPr="00905026">
        <w:rPr>
          <w:rFonts w:asciiTheme="minorBidi" w:hAnsiTheme="minorBidi" w:cstheme="minorBidi"/>
          <w:sz w:val="18"/>
          <w:szCs w:val="18"/>
        </w:rPr>
        <w:tab/>
      </w:r>
      <w:r w:rsidR="00662ADB" w:rsidRPr="00905026">
        <w:rPr>
          <w:rFonts w:asciiTheme="minorBidi" w:hAnsiTheme="minorBidi" w:cstheme="minorBidi"/>
          <w:sz w:val="18"/>
          <w:szCs w:val="18"/>
        </w:rPr>
        <w:t xml:space="preserve">La </w:t>
      </w:r>
      <w:hyperlink r:id="rId1" w:history="1">
        <w:r w:rsidR="00662ADB" w:rsidRPr="00905026">
          <w:rPr>
            <w:rStyle w:val="Lienhypertexte"/>
            <w:rFonts w:asciiTheme="minorBidi" w:hAnsiTheme="minorBidi" w:cstheme="minorBidi"/>
            <w:sz w:val="18"/>
            <w:szCs w:val="18"/>
          </w:rPr>
          <w:t>conférence</w:t>
        </w:r>
      </w:hyperlink>
      <w:r w:rsidR="00662ADB" w:rsidRPr="00905026">
        <w:rPr>
          <w:rFonts w:asciiTheme="minorBidi" w:hAnsiTheme="minorBidi" w:cstheme="minorBidi"/>
          <w:sz w:val="18"/>
          <w:szCs w:val="18"/>
        </w:rPr>
        <w:t xml:space="preserve"> a été organisée dans le cadre de la Semaine de l'Amérique latine et des Caraïbes à l'UNESCO les 21, 22 et 30 juin 2023.</w:t>
      </w:r>
    </w:p>
  </w:footnote>
  <w:footnote w:id="2">
    <w:p w14:paraId="7DBE414C" w14:textId="4D86C628" w:rsidR="00017478" w:rsidRPr="00905026" w:rsidRDefault="00017478" w:rsidP="00D5697E">
      <w:pPr>
        <w:pStyle w:val="Notedebasdepage"/>
        <w:spacing w:before="120"/>
        <w:ind w:left="284" w:hanging="284"/>
        <w:jc w:val="both"/>
        <w:rPr>
          <w:rFonts w:asciiTheme="minorBidi" w:hAnsiTheme="minorBidi" w:cstheme="minorBidi"/>
          <w:sz w:val="18"/>
          <w:szCs w:val="18"/>
        </w:rPr>
      </w:pPr>
      <w:r w:rsidRPr="009947DE">
        <w:rPr>
          <w:rStyle w:val="Appelnotedebasdep"/>
          <w:rFonts w:asciiTheme="minorBidi" w:hAnsiTheme="minorBidi" w:cstheme="minorBidi"/>
          <w:sz w:val="18"/>
          <w:szCs w:val="18"/>
        </w:rPr>
        <w:footnoteRef/>
      </w:r>
      <w:r w:rsidR="009947DE" w:rsidRPr="009947DE">
        <w:rPr>
          <w:rFonts w:asciiTheme="minorBidi" w:hAnsiTheme="minorBidi" w:cstheme="minorBidi"/>
          <w:sz w:val="18"/>
          <w:szCs w:val="18"/>
          <w:vertAlign w:val="superscript"/>
        </w:rPr>
        <w:t>.</w:t>
      </w:r>
      <w:r w:rsidR="00E44F03" w:rsidRPr="00905026">
        <w:rPr>
          <w:rFonts w:asciiTheme="minorBidi" w:hAnsiTheme="minorBidi" w:cstheme="minorBidi"/>
          <w:sz w:val="18"/>
          <w:szCs w:val="18"/>
        </w:rPr>
        <w:tab/>
      </w:r>
      <w:r w:rsidR="00297BFB" w:rsidRPr="00297BFB">
        <w:rPr>
          <w:rFonts w:asciiTheme="minorBidi" w:hAnsiTheme="minorBidi" w:cstheme="minorBidi"/>
          <w:sz w:val="18"/>
          <w:szCs w:val="18"/>
        </w:rPr>
        <w:t xml:space="preserve">Le </w:t>
      </w:r>
      <w:hyperlink r:id="rId2" w:history="1">
        <w:r w:rsidR="00297BFB" w:rsidRPr="00297BFB">
          <w:rPr>
            <w:rStyle w:val="Lienhypertexte"/>
            <w:rFonts w:asciiTheme="minorBidi" w:hAnsiTheme="minorBidi" w:cstheme="minorBidi"/>
            <w:sz w:val="18"/>
            <w:szCs w:val="18"/>
          </w:rPr>
          <w:t>Forum international : Patrimoine vivant latino-américain</w:t>
        </w:r>
      </w:hyperlink>
      <w:r w:rsidR="00297BFB" w:rsidRPr="00297BFB">
        <w:rPr>
          <w:rFonts w:asciiTheme="minorBidi" w:hAnsiTheme="minorBidi" w:cstheme="minorBidi"/>
          <w:sz w:val="18"/>
          <w:szCs w:val="18"/>
        </w:rPr>
        <w:t xml:space="preserve"> a été organisé par le </w:t>
      </w:r>
      <w:r w:rsidR="00055A9A" w:rsidRPr="00297BFB">
        <w:rPr>
          <w:rFonts w:asciiTheme="minorBidi" w:hAnsiTheme="minorBidi" w:cstheme="minorBidi"/>
          <w:sz w:val="18"/>
          <w:szCs w:val="18"/>
        </w:rPr>
        <w:t>ministère</w:t>
      </w:r>
      <w:r w:rsidR="00297BFB" w:rsidRPr="00297BFB">
        <w:rPr>
          <w:rFonts w:asciiTheme="minorBidi" w:hAnsiTheme="minorBidi" w:cstheme="minorBidi"/>
          <w:sz w:val="18"/>
          <w:szCs w:val="18"/>
        </w:rPr>
        <w:t xml:space="preserve"> de la Culture du Pérou, le Centre régional pour la sauvegarde du patrimoine culturel immatériel de l'Amérique latine </w:t>
      </w:r>
      <w:r w:rsidR="00297BFB">
        <w:rPr>
          <w:rFonts w:asciiTheme="minorBidi" w:hAnsiTheme="minorBidi" w:cstheme="minorBidi"/>
          <w:sz w:val="18"/>
          <w:szCs w:val="18"/>
        </w:rPr>
        <w:t>(</w:t>
      </w:r>
      <w:r w:rsidR="00297BFB" w:rsidRPr="00297BFB">
        <w:rPr>
          <w:rFonts w:asciiTheme="minorBidi" w:hAnsiTheme="minorBidi" w:cstheme="minorBidi"/>
          <w:sz w:val="18"/>
          <w:szCs w:val="18"/>
        </w:rPr>
        <w:t>CRESPIAL</w:t>
      </w:r>
      <w:r w:rsidR="00297BFB">
        <w:rPr>
          <w:rFonts w:asciiTheme="minorBidi" w:hAnsiTheme="minorBidi" w:cstheme="minorBidi"/>
          <w:sz w:val="18"/>
          <w:szCs w:val="18"/>
        </w:rPr>
        <w:t>)</w:t>
      </w:r>
      <w:r w:rsidR="00297BFB" w:rsidRPr="00297BFB">
        <w:rPr>
          <w:rFonts w:asciiTheme="minorBidi" w:hAnsiTheme="minorBidi" w:cstheme="minorBidi"/>
          <w:sz w:val="18"/>
          <w:szCs w:val="18"/>
        </w:rPr>
        <w:t xml:space="preserve"> et le bureau de l'UNESCO au Pérou, du 19 au 21 octobre 2023 à Lima</w:t>
      </w:r>
      <w:r w:rsidR="00297BFB">
        <w:rPr>
          <w:rFonts w:asciiTheme="minorBidi" w:hAnsiTheme="minorBidi" w:cstheme="minorBidi"/>
          <w:sz w:val="18"/>
          <w:szCs w:val="18"/>
        </w:rPr>
        <w:t>,</w:t>
      </w:r>
      <w:r w:rsidR="00297BFB" w:rsidRPr="00297BFB">
        <w:rPr>
          <w:rFonts w:asciiTheme="minorBidi" w:hAnsiTheme="minorBidi" w:cstheme="minorBidi"/>
          <w:sz w:val="18"/>
          <w:szCs w:val="18"/>
        </w:rPr>
        <w:t xml:space="preserve"> Pérou.</w:t>
      </w:r>
    </w:p>
  </w:footnote>
  <w:footnote w:id="3">
    <w:p w14:paraId="641DCF4B" w14:textId="466CCB77" w:rsidR="00297BFB" w:rsidRPr="00905026" w:rsidRDefault="00017478" w:rsidP="00D5697E">
      <w:pPr>
        <w:pStyle w:val="Notedebasdepage"/>
        <w:spacing w:before="120"/>
        <w:ind w:left="284" w:hanging="284"/>
        <w:jc w:val="both"/>
        <w:rPr>
          <w:rFonts w:asciiTheme="minorBidi" w:hAnsiTheme="minorBidi" w:cstheme="minorBidi"/>
          <w:sz w:val="18"/>
          <w:szCs w:val="18"/>
        </w:rPr>
      </w:pPr>
      <w:r w:rsidRPr="009947DE">
        <w:rPr>
          <w:rStyle w:val="Appelnotedebasdep"/>
          <w:rFonts w:asciiTheme="minorBidi" w:hAnsiTheme="minorBidi" w:cstheme="minorBidi"/>
          <w:sz w:val="18"/>
          <w:szCs w:val="18"/>
        </w:rPr>
        <w:footnoteRef/>
      </w:r>
      <w:r w:rsidR="009947DE" w:rsidRPr="009947DE">
        <w:rPr>
          <w:rFonts w:asciiTheme="minorBidi" w:hAnsiTheme="minorBidi" w:cstheme="minorBidi"/>
          <w:sz w:val="18"/>
          <w:szCs w:val="18"/>
          <w:vertAlign w:val="superscript"/>
        </w:rPr>
        <w:t>.</w:t>
      </w:r>
      <w:r w:rsidR="00E44F03" w:rsidRPr="00905026">
        <w:rPr>
          <w:rFonts w:asciiTheme="minorBidi" w:hAnsiTheme="minorBidi" w:cstheme="minorBidi"/>
          <w:sz w:val="18"/>
          <w:szCs w:val="18"/>
        </w:rPr>
        <w:tab/>
      </w:r>
      <w:r w:rsidR="00297BFB" w:rsidRPr="00297BFB">
        <w:rPr>
          <w:rFonts w:asciiTheme="minorBidi" w:hAnsiTheme="minorBidi" w:cstheme="minorBidi"/>
          <w:sz w:val="18"/>
          <w:szCs w:val="18"/>
        </w:rPr>
        <w:t xml:space="preserve">La </w:t>
      </w:r>
      <w:hyperlink r:id="rId3" w:history="1">
        <w:r w:rsidR="00297BFB" w:rsidRPr="00E7159B">
          <w:rPr>
            <w:rStyle w:val="Lienhypertexte"/>
            <w:rFonts w:asciiTheme="minorBidi" w:hAnsiTheme="minorBidi" w:cstheme="minorBidi"/>
            <w:sz w:val="18"/>
            <w:szCs w:val="18"/>
          </w:rPr>
          <w:t>publication</w:t>
        </w:r>
      </w:hyperlink>
      <w:r w:rsidR="00297BFB" w:rsidRPr="00297BFB">
        <w:rPr>
          <w:rFonts w:asciiTheme="minorBidi" w:hAnsiTheme="minorBidi" w:cstheme="minorBidi"/>
          <w:sz w:val="18"/>
          <w:szCs w:val="18"/>
        </w:rPr>
        <w:t xml:space="preserve"> est « 20e anniversaire de la Convention pour la sauvegarde du patrimoine culturel immatériel : stratégies et expériences d'Amérique latine et des Caraïbes ».</w:t>
      </w:r>
    </w:p>
  </w:footnote>
  <w:footnote w:id="4">
    <w:p w14:paraId="58690CA3" w14:textId="16459108" w:rsidR="00E7159B" w:rsidRDefault="00E7159B" w:rsidP="00D5697E">
      <w:pPr>
        <w:pStyle w:val="Notedebasdepage"/>
        <w:tabs>
          <w:tab w:val="left" w:pos="567"/>
        </w:tabs>
        <w:spacing w:before="120"/>
        <w:ind w:left="284" w:hanging="284"/>
        <w:jc w:val="both"/>
      </w:pPr>
      <w:r w:rsidRPr="009947DE">
        <w:rPr>
          <w:rStyle w:val="Appelnotedebasdep"/>
        </w:rPr>
        <w:footnoteRef/>
      </w:r>
      <w:r w:rsidR="009947DE" w:rsidRPr="009947DE">
        <w:rPr>
          <w:vertAlign w:val="superscript"/>
        </w:rPr>
        <w:t>.</w:t>
      </w:r>
      <w:r w:rsidRPr="00905026">
        <w:rPr>
          <w:rFonts w:asciiTheme="minorBidi" w:hAnsiTheme="minorBidi" w:cstheme="minorBidi"/>
          <w:sz w:val="18"/>
          <w:szCs w:val="18"/>
        </w:rPr>
        <w:tab/>
      </w:r>
      <w:r w:rsidRPr="00E7159B">
        <w:rPr>
          <w:rFonts w:asciiTheme="minorBidi" w:hAnsiTheme="minorBidi" w:cstheme="minorBidi"/>
          <w:sz w:val="18"/>
          <w:szCs w:val="18"/>
        </w:rPr>
        <w:t xml:space="preserve">La </w:t>
      </w:r>
      <w:hyperlink r:id="rId4" w:history="1">
        <w:r w:rsidRPr="00B3390D">
          <w:rPr>
            <w:rStyle w:val="Lienhypertexte"/>
            <w:rFonts w:asciiTheme="minorBidi" w:hAnsiTheme="minorBidi" w:cstheme="minorBidi"/>
            <w:sz w:val="18"/>
            <w:szCs w:val="18"/>
          </w:rPr>
          <w:t>réunion</w:t>
        </w:r>
      </w:hyperlink>
      <w:r w:rsidRPr="00E7159B">
        <w:rPr>
          <w:rFonts w:asciiTheme="minorBidi" w:hAnsiTheme="minorBidi" w:cstheme="minorBidi"/>
          <w:sz w:val="18"/>
          <w:szCs w:val="18"/>
        </w:rPr>
        <w:t xml:space="preserve"> a été accueillie par le </w:t>
      </w:r>
      <w:r w:rsidR="003D75BC" w:rsidRPr="00E7159B">
        <w:rPr>
          <w:rFonts w:asciiTheme="minorBidi" w:hAnsiTheme="minorBidi" w:cstheme="minorBidi"/>
          <w:sz w:val="18"/>
          <w:szCs w:val="18"/>
        </w:rPr>
        <w:t>ministère</w:t>
      </w:r>
      <w:r w:rsidRPr="00E7159B">
        <w:rPr>
          <w:rFonts w:asciiTheme="minorBidi" w:hAnsiTheme="minorBidi" w:cstheme="minorBidi"/>
          <w:sz w:val="18"/>
          <w:szCs w:val="18"/>
        </w:rPr>
        <w:t xml:space="preserve"> des Affaires étrangères de la République de Corée (MOFA), l'Administration du patrimoine culturel de la République de Corée, en collaboration avec l'UNESCO, le </w:t>
      </w:r>
      <w:r w:rsidR="00A00507" w:rsidRPr="00A00507">
        <w:rPr>
          <w:rFonts w:asciiTheme="minorBidi" w:hAnsiTheme="minorBidi" w:cstheme="minorBidi"/>
          <w:sz w:val="18"/>
          <w:szCs w:val="18"/>
        </w:rPr>
        <w:t xml:space="preserve">Centre international d’information et de travail en réseau sur le patrimoine culturel immatériel dans la région Asie-Pacifique </w:t>
      </w:r>
      <w:r w:rsidRPr="00E7159B">
        <w:rPr>
          <w:rFonts w:asciiTheme="minorBidi" w:hAnsiTheme="minorBidi" w:cstheme="minorBidi"/>
          <w:sz w:val="18"/>
          <w:szCs w:val="18"/>
        </w:rPr>
        <w:t xml:space="preserve">sous </w:t>
      </w:r>
      <w:r w:rsidR="00193D52">
        <w:rPr>
          <w:rFonts w:asciiTheme="minorBidi" w:hAnsiTheme="minorBidi" w:cstheme="minorBidi"/>
          <w:sz w:val="18"/>
          <w:szCs w:val="18"/>
        </w:rPr>
        <w:t>les auspices</w:t>
      </w:r>
      <w:r w:rsidRPr="00E7159B">
        <w:rPr>
          <w:rFonts w:asciiTheme="minorBidi" w:hAnsiTheme="minorBidi" w:cstheme="minorBidi"/>
          <w:sz w:val="18"/>
          <w:szCs w:val="18"/>
        </w:rPr>
        <w:t xml:space="preserve"> de l'UNESCO (ICHCAP), et la Fondation du patrimoine culturel de Corée.</w:t>
      </w:r>
    </w:p>
  </w:footnote>
  <w:footnote w:id="5">
    <w:p w14:paraId="3795641F" w14:textId="05D9A13F" w:rsidR="00E7159B" w:rsidRDefault="00E7159B" w:rsidP="00D5697E">
      <w:pPr>
        <w:pStyle w:val="Notedebasdepage"/>
        <w:tabs>
          <w:tab w:val="left" w:pos="567"/>
        </w:tabs>
        <w:ind w:left="284" w:hanging="284"/>
        <w:jc w:val="both"/>
      </w:pPr>
      <w:r w:rsidRPr="009947DE">
        <w:rPr>
          <w:rStyle w:val="Appelnotedebasdep"/>
          <w:rFonts w:asciiTheme="minorBidi" w:hAnsiTheme="minorBidi" w:cstheme="minorBidi"/>
          <w:sz w:val="18"/>
          <w:szCs w:val="18"/>
        </w:rPr>
        <w:footnoteRef/>
      </w:r>
      <w:r w:rsidR="009947DE" w:rsidRPr="009947DE">
        <w:rPr>
          <w:rFonts w:asciiTheme="minorBidi" w:hAnsiTheme="minorBidi" w:cstheme="minorBidi"/>
          <w:sz w:val="18"/>
          <w:szCs w:val="18"/>
          <w:vertAlign w:val="superscript"/>
        </w:rPr>
        <w:t>.</w:t>
      </w:r>
      <w:r w:rsidRPr="00905026">
        <w:rPr>
          <w:rFonts w:asciiTheme="minorBidi" w:hAnsiTheme="minorBidi" w:cstheme="minorBidi"/>
          <w:sz w:val="18"/>
          <w:szCs w:val="18"/>
        </w:rPr>
        <w:t xml:space="preserve"> </w:t>
      </w:r>
      <w:r w:rsidR="003D75BC" w:rsidRPr="00905026">
        <w:rPr>
          <w:rFonts w:asciiTheme="minorBidi" w:hAnsiTheme="minorBidi" w:cstheme="minorBidi"/>
          <w:sz w:val="18"/>
          <w:szCs w:val="18"/>
        </w:rPr>
        <w:tab/>
        <w:t xml:space="preserve">La </w:t>
      </w:r>
      <w:hyperlink r:id="rId5" w:history="1">
        <w:r w:rsidR="003D75BC" w:rsidRPr="00905026">
          <w:rPr>
            <w:rStyle w:val="Lienhypertexte"/>
            <w:rFonts w:asciiTheme="minorBidi" w:hAnsiTheme="minorBidi" w:cstheme="minorBidi"/>
            <w:sz w:val="18"/>
            <w:szCs w:val="18"/>
          </w:rPr>
          <w:t>conférence</w:t>
        </w:r>
      </w:hyperlink>
      <w:r w:rsidR="003D75BC" w:rsidRPr="00905026">
        <w:rPr>
          <w:rFonts w:asciiTheme="minorBidi" w:hAnsiTheme="minorBidi" w:cstheme="minorBidi"/>
          <w:sz w:val="18"/>
          <w:szCs w:val="18"/>
        </w:rPr>
        <w:t xml:space="preserve"> a été organisée en coopération avec le Ministère italien des Affaires étrangères et de la Coopération internationale, ainsi que le Ministère italien de la Culture, avec le soutien de la Ville de Naples.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16E1D1D2" w:rsidR="00D95C4C" w:rsidRPr="00C23A97" w:rsidRDefault="00C5776D" w:rsidP="00C5776D">
    <w:pPr>
      <w:pStyle w:val="En-tte"/>
      <w:rPr>
        <w:rFonts w:ascii="Arial" w:hAnsi="Arial" w:cs="Arial"/>
      </w:rPr>
    </w:pPr>
    <w:r>
      <w:rPr>
        <w:rFonts w:ascii="Arial" w:hAnsi="Arial"/>
        <w:sz w:val="20"/>
      </w:rPr>
      <w:t xml:space="preserve">LHE/24/10.GA/10 – page </w:t>
    </w:r>
    <w:r w:rsidR="00D95C4C" w:rsidRPr="00C23A97">
      <w:rPr>
        <w:rStyle w:val="Numrodepage"/>
        <w:rFonts w:ascii="Arial" w:hAnsi="Arial" w:cs="Arial"/>
        <w:sz w:val="20"/>
      </w:rPr>
      <w:fldChar w:fldCharType="begin"/>
    </w:r>
    <w:r w:rsidR="00D95C4C" w:rsidRPr="00C23A97">
      <w:rPr>
        <w:rStyle w:val="Numrodepage"/>
        <w:rFonts w:ascii="Arial" w:hAnsi="Arial" w:cs="Arial"/>
        <w:sz w:val="20"/>
      </w:rPr>
      <w:instrText xml:space="preserve"> PAGE </w:instrText>
    </w:r>
    <w:r w:rsidR="00D95C4C" w:rsidRPr="00C23A97">
      <w:rPr>
        <w:rStyle w:val="Numrodepage"/>
        <w:rFonts w:ascii="Arial" w:hAnsi="Arial" w:cs="Arial"/>
        <w:sz w:val="20"/>
      </w:rPr>
      <w:fldChar w:fldCharType="separate"/>
    </w:r>
    <w:r w:rsidR="006E75EB">
      <w:rPr>
        <w:rStyle w:val="Numrodepage"/>
        <w:rFonts w:ascii="Arial" w:hAnsi="Arial" w:cs="Arial"/>
        <w:sz w:val="20"/>
      </w:rPr>
      <w:t>2</w:t>
    </w:r>
    <w:r w:rsidR="00D95C4C" w:rsidRPr="00C23A97">
      <w:rPr>
        <w:rStyle w:val="Numrodepage"/>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0C3CA7E9" w:rsidR="00D95C4C" w:rsidRPr="0063300C" w:rsidRDefault="00C5776D" w:rsidP="00C5776D">
    <w:pPr>
      <w:pStyle w:val="En-tte"/>
      <w:jc w:val="right"/>
      <w:rPr>
        <w:rFonts w:ascii="Arial" w:hAnsi="Arial" w:cs="Arial"/>
      </w:rPr>
    </w:pPr>
    <w:r>
      <w:rPr>
        <w:rFonts w:ascii="Arial" w:hAnsi="Arial"/>
        <w:sz w:val="20"/>
      </w:rPr>
      <w:t>LHE/24/10.GA/10 – page</w:t>
    </w:r>
    <w:r w:rsidR="000979F7">
      <w:rPr>
        <w:rFonts w:ascii="Arial" w:hAnsi="Arial"/>
        <w:sz w:val="20"/>
      </w:rPr>
      <w:t> </w:t>
    </w:r>
    <w:r w:rsidR="004A34A0" w:rsidRPr="0063300C">
      <w:rPr>
        <w:rStyle w:val="Numrodepage"/>
        <w:rFonts w:ascii="Arial" w:hAnsi="Arial" w:cs="Arial"/>
        <w:sz w:val="20"/>
      </w:rPr>
      <w:fldChar w:fldCharType="begin"/>
    </w:r>
    <w:r w:rsidR="004A34A0" w:rsidRPr="0063300C">
      <w:rPr>
        <w:rStyle w:val="Numrodepage"/>
        <w:rFonts w:ascii="Arial" w:hAnsi="Arial" w:cs="Arial"/>
        <w:sz w:val="20"/>
      </w:rPr>
      <w:instrText xml:space="preserve"> PAGE </w:instrText>
    </w:r>
    <w:r w:rsidR="004A34A0" w:rsidRPr="0063300C">
      <w:rPr>
        <w:rStyle w:val="Numrodepage"/>
        <w:rFonts w:ascii="Arial" w:hAnsi="Arial" w:cs="Arial"/>
        <w:sz w:val="20"/>
      </w:rPr>
      <w:fldChar w:fldCharType="separate"/>
    </w:r>
    <w:r w:rsidR="00190205">
      <w:rPr>
        <w:rStyle w:val="Numrodepage"/>
        <w:rFonts w:ascii="Arial" w:hAnsi="Arial" w:cs="Arial"/>
        <w:sz w:val="20"/>
      </w:rPr>
      <w:t>3</w:t>
    </w:r>
    <w:r w:rsidR="004A34A0" w:rsidRPr="0063300C">
      <w:rPr>
        <w:rStyle w:val="Numrodepage"/>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53708EAE" w:rsidR="00D95C4C" w:rsidRPr="00E95AE2" w:rsidRDefault="00B964ED">
    <w:pPr>
      <w:pStyle w:val="En-tte"/>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201E8CA5" wp14:editId="58ABCD59">
          <wp:simplePos x="0" y="0"/>
          <wp:positionH relativeFrom="margin">
            <wp:posOffset>0</wp:posOffset>
          </wp:positionH>
          <wp:positionV relativeFrom="paragraph">
            <wp:posOffset>-38100</wp:posOffset>
          </wp:positionV>
          <wp:extent cx="1710000" cy="1436138"/>
          <wp:effectExtent l="0" t="0" r="5080" b="0"/>
          <wp:wrapSquare wrapText="bothSides"/>
          <wp:docPr id="1" name="Imag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00" cy="14361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482825F8" w:rsidR="00D95C4C" w:rsidRPr="00B964ED" w:rsidRDefault="005C792B" w:rsidP="00C5776D">
    <w:pPr>
      <w:pStyle w:val="En-tte"/>
      <w:spacing w:after="520"/>
      <w:jc w:val="right"/>
      <w:rPr>
        <w:rFonts w:ascii="Arial" w:hAnsi="Arial" w:cs="Arial"/>
        <w:b/>
        <w:sz w:val="44"/>
        <w:szCs w:val="44"/>
        <w:lang w:val="nl-NL"/>
      </w:rPr>
    </w:pPr>
    <w:r w:rsidRPr="00B964ED">
      <w:rPr>
        <w:rFonts w:ascii="Arial" w:hAnsi="Arial"/>
        <w:b/>
        <w:sz w:val="44"/>
        <w:lang w:val="nl-NL"/>
      </w:rPr>
      <w:t>10 GA</w:t>
    </w:r>
  </w:p>
  <w:p w14:paraId="306484B8" w14:textId="67622C89" w:rsidR="00D95C4C" w:rsidRPr="00B964ED" w:rsidRDefault="00C5776D" w:rsidP="00C5776D">
    <w:pPr>
      <w:jc w:val="right"/>
      <w:rPr>
        <w:rFonts w:ascii="Arial" w:hAnsi="Arial" w:cs="Arial"/>
        <w:b/>
        <w:sz w:val="22"/>
        <w:szCs w:val="22"/>
        <w:lang w:val="nl-NL"/>
      </w:rPr>
    </w:pPr>
    <w:r w:rsidRPr="00B964ED">
      <w:rPr>
        <w:rFonts w:ascii="Arial" w:hAnsi="Arial"/>
        <w:b/>
        <w:sz w:val="22"/>
        <w:lang w:val="nl-NL"/>
      </w:rPr>
      <w:t>LHE/24/10.GA/10</w:t>
    </w:r>
  </w:p>
  <w:p w14:paraId="1B4446C3" w14:textId="756C70C1" w:rsidR="00D95C4C" w:rsidRPr="00B964ED" w:rsidRDefault="00D95C4C" w:rsidP="00655736">
    <w:pPr>
      <w:jc w:val="right"/>
      <w:rPr>
        <w:rFonts w:ascii="Arial" w:eastAsiaTheme="minorEastAsia" w:hAnsi="Arial" w:cs="Arial"/>
        <w:b/>
        <w:sz w:val="22"/>
        <w:szCs w:val="22"/>
        <w:lang w:val="nl-NL"/>
      </w:rPr>
    </w:pPr>
    <w:r w:rsidRPr="00B964ED">
      <w:rPr>
        <w:rFonts w:ascii="Arial" w:hAnsi="Arial"/>
        <w:b/>
        <w:sz w:val="22"/>
        <w:lang w:val="nl-NL"/>
      </w:rPr>
      <w:t xml:space="preserve">Paris, </w:t>
    </w:r>
    <w:r w:rsidR="00130366">
      <w:rPr>
        <w:rFonts w:ascii="Arial" w:hAnsi="Arial"/>
        <w:b/>
        <w:sz w:val="22"/>
        <w:lang w:val="nl-NL"/>
      </w:rPr>
      <w:t xml:space="preserve">le </w:t>
    </w:r>
    <w:r w:rsidRPr="00B964ED">
      <w:rPr>
        <w:rFonts w:ascii="Arial" w:hAnsi="Arial"/>
        <w:b/>
        <w:sz w:val="22"/>
        <w:lang w:val="nl-NL"/>
      </w:rPr>
      <w:t>13 mai 2024</w:t>
    </w:r>
  </w:p>
  <w:p w14:paraId="255B57FF" w14:textId="2F5A2A03" w:rsidR="00D95C4C" w:rsidRPr="00F32C23" w:rsidRDefault="00D95C4C" w:rsidP="00962034">
    <w:pPr>
      <w:spacing w:after="120"/>
      <w:jc w:val="right"/>
      <w:rPr>
        <w:rFonts w:ascii="Arial" w:hAnsi="Arial" w:cs="Arial"/>
        <w:b/>
        <w:sz w:val="22"/>
        <w:szCs w:val="22"/>
      </w:rPr>
    </w:pPr>
    <w:r>
      <w:rPr>
        <w:rFonts w:ascii="Arial" w:hAnsi="Arial"/>
        <w:b/>
        <w:sz w:val="22"/>
      </w:rPr>
      <w:t xml:space="preserve">Original : </w:t>
    </w:r>
    <w:r w:rsidR="00130366">
      <w:rPr>
        <w:rFonts w:ascii="Arial" w:hAnsi="Arial"/>
        <w:b/>
        <w:sz w:val="22"/>
      </w:rPr>
      <w:t>a</w:t>
    </w:r>
    <w:r>
      <w:rPr>
        <w:rFonts w:ascii="Arial" w:hAnsi="Arial"/>
        <w:b/>
        <w:sz w:val="22"/>
      </w:rPr>
      <w:t>nglais</w:t>
    </w:r>
  </w:p>
  <w:p w14:paraId="3C4B8B1B" w14:textId="77777777" w:rsidR="00D95C4C" w:rsidRPr="00905026" w:rsidRDefault="00D95C4C">
    <w:pPr>
      <w:pStyle w:val="En-tt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0439"/>
    <w:multiLevelType w:val="hybridMultilevel"/>
    <w:tmpl w:val="E6A4CB00"/>
    <w:lvl w:ilvl="0" w:tplc="040C0001">
      <w:start w:val="1"/>
      <w:numFmt w:val="bullet"/>
      <w:lvlText w:val=""/>
      <w:lvlJc w:val="left"/>
      <w:pPr>
        <w:ind w:left="295" w:hanging="360"/>
      </w:pPr>
      <w:rPr>
        <w:rFonts w:ascii="Symbol" w:hAnsi="Symbol" w:hint="default"/>
      </w:rPr>
    </w:lvl>
    <w:lvl w:ilvl="1" w:tplc="FFFFFFFF">
      <w:start w:val="1"/>
      <w:numFmt w:val="lowerLetter"/>
      <w:lvlText w:val="%2."/>
      <w:lvlJc w:val="left"/>
      <w:pPr>
        <w:ind w:left="1015" w:hanging="360"/>
      </w:pPr>
    </w:lvl>
    <w:lvl w:ilvl="2" w:tplc="FFFFFFFF">
      <w:start w:val="1"/>
      <w:numFmt w:val="lowerRoman"/>
      <w:lvlText w:val="%3."/>
      <w:lvlJc w:val="right"/>
      <w:pPr>
        <w:ind w:left="1735" w:hanging="180"/>
      </w:pPr>
    </w:lvl>
    <w:lvl w:ilvl="3" w:tplc="FFFFFFFF">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1"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1BCA5C55"/>
    <w:multiLevelType w:val="hybridMultilevel"/>
    <w:tmpl w:val="F1C2669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 w15:restartNumberingAfterBreak="0">
    <w:nsid w:val="1C8141F2"/>
    <w:multiLevelType w:val="hybridMultilevel"/>
    <w:tmpl w:val="83CEEFBA"/>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0"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3"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15:restartNumberingAfterBreak="0">
    <w:nsid w:val="45201A69"/>
    <w:multiLevelType w:val="hybridMultilevel"/>
    <w:tmpl w:val="6C5A0FB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6"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B1B4448"/>
    <w:multiLevelType w:val="hybridMultilevel"/>
    <w:tmpl w:val="5FB40DB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822628298">
    <w:abstractNumId w:val="15"/>
  </w:num>
  <w:num w:numId="2" w16cid:durableId="699629408">
    <w:abstractNumId w:val="9"/>
  </w:num>
  <w:num w:numId="3" w16cid:durableId="164177712">
    <w:abstractNumId w:val="4"/>
  </w:num>
  <w:num w:numId="4" w16cid:durableId="1416590798">
    <w:abstractNumId w:val="18"/>
  </w:num>
  <w:num w:numId="5" w16cid:durableId="1762608160">
    <w:abstractNumId w:val="16"/>
  </w:num>
  <w:num w:numId="6" w16cid:durableId="2146270374">
    <w:abstractNumId w:val="1"/>
  </w:num>
  <w:num w:numId="7" w16cid:durableId="1113592211">
    <w:abstractNumId w:val="6"/>
  </w:num>
  <w:num w:numId="8" w16cid:durableId="1920598164">
    <w:abstractNumId w:val="13"/>
  </w:num>
  <w:num w:numId="9" w16cid:durableId="1533764642">
    <w:abstractNumId w:val="8"/>
  </w:num>
  <w:num w:numId="10" w16cid:durableId="1246129">
    <w:abstractNumId w:val="10"/>
  </w:num>
  <w:num w:numId="11" w16cid:durableId="111829808">
    <w:abstractNumId w:val="12"/>
  </w:num>
  <w:num w:numId="12" w16cid:durableId="1088770206">
    <w:abstractNumId w:val="11"/>
  </w:num>
  <w:num w:numId="13" w16cid:durableId="1263951029">
    <w:abstractNumId w:val="19"/>
  </w:num>
  <w:num w:numId="14" w16cid:durableId="395903570">
    <w:abstractNumId w:val="7"/>
  </w:num>
  <w:num w:numId="15" w16cid:durableId="1857570918">
    <w:abstractNumId w:val="8"/>
  </w:num>
  <w:num w:numId="16" w16cid:durableId="248199808">
    <w:abstractNumId w:val="8"/>
  </w:num>
  <w:num w:numId="17" w16cid:durableId="350380342">
    <w:abstractNumId w:val="8"/>
  </w:num>
  <w:num w:numId="18" w16cid:durableId="944581980">
    <w:abstractNumId w:val="8"/>
  </w:num>
  <w:num w:numId="19" w16cid:durableId="772675100">
    <w:abstractNumId w:val="8"/>
  </w:num>
  <w:num w:numId="20" w16cid:durableId="1253010311">
    <w:abstractNumId w:val="8"/>
  </w:num>
  <w:num w:numId="21" w16cid:durableId="540821319">
    <w:abstractNumId w:val="2"/>
  </w:num>
  <w:num w:numId="22" w16cid:durableId="2046514942">
    <w:abstractNumId w:val="8"/>
  </w:num>
  <w:num w:numId="23" w16cid:durableId="1137143166">
    <w:abstractNumId w:val="8"/>
  </w:num>
  <w:num w:numId="24" w16cid:durableId="845705957">
    <w:abstractNumId w:val="0"/>
  </w:num>
  <w:num w:numId="25" w16cid:durableId="15489078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2804543">
    <w:abstractNumId w:val="8"/>
  </w:num>
  <w:num w:numId="27" w16cid:durableId="1850870069">
    <w:abstractNumId w:val="8"/>
  </w:num>
  <w:num w:numId="28" w16cid:durableId="1390222850">
    <w:abstractNumId w:val="8"/>
  </w:num>
  <w:num w:numId="29" w16cid:durableId="634220986">
    <w:abstractNumId w:val="8"/>
  </w:num>
  <w:num w:numId="30" w16cid:durableId="1612131814">
    <w:abstractNumId w:val="8"/>
  </w:num>
  <w:num w:numId="31" w16cid:durableId="481654889">
    <w:abstractNumId w:val="3"/>
  </w:num>
  <w:num w:numId="32" w16cid:durableId="611940547">
    <w:abstractNumId w:val="8"/>
  </w:num>
  <w:num w:numId="33" w16cid:durableId="67655107">
    <w:abstractNumId w:val="17"/>
  </w:num>
  <w:num w:numId="34" w16cid:durableId="1482582023">
    <w:abstractNumId w:val="8"/>
  </w:num>
  <w:num w:numId="35" w16cid:durableId="1445269033">
    <w:abstractNumId w:val="8"/>
  </w:num>
  <w:num w:numId="36" w16cid:durableId="626938009">
    <w:abstractNumId w:val="5"/>
  </w:num>
  <w:num w:numId="37" w16cid:durableId="1817137503">
    <w:abstractNumId w:val="8"/>
  </w:num>
  <w:num w:numId="38" w16cid:durableId="1443188985">
    <w:abstractNumId w:val="8"/>
  </w:num>
  <w:num w:numId="39" w16cid:durableId="1703091294">
    <w:abstractNumId w:val="8"/>
  </w:num>
  <w:num w:numId="40" w16cid:durableId="201095490">
    <w:abstractNumId w:val="8"/>
  </w:num>
  <w:num w:numId="41" w16cid:durableId="155415393">
    <w:abstractNumId w:val="8"/>
  </w:num>
  <w:num w:numId="42" w16cid:durableId="848443413">
    <w:abstractNumId w:val="8"/>
  </w:num>
  <w:num w:numId="43" w16cid:durableId="1217159771">
    <w:abstractNumId w:val="8"/>
  </w:num>
  <w:num w:numId="44" w16cid:durableId="496384258">
    <w:abstractNumId w:val="8"/>
  </w:num>
  <w:num w:numId="45" w16cid:durableId="1401363196">
    <w:abstractNumId w:val="8"/>
  </w:num>
  <w:num w:numId="46" w16cid:durableId="353456430">
    <w:abstractNumId w:val="8"/>
  </w:num>
  <w:num w:numId="47" w16cid:durableId="686979864">
    <w:abstractNumId w:val="8"/>
  </w:num>
  <w:num w:numId="48" w16cid:durableId="1358584799">
    <w:abstractNumId w:val="8"/>
  </w:num>
  <w:num w:numId="49" w16cid:durableId="1772965719">
    <w:abstractNumId w:val="8"/>
  </w:num>
  <w:num w:numId="50" w16cid:durableId="47267269">
    <w:abstractNumId w:val="8"/>
  </w:num>
  <w:num w:numId="51" w16cid:durableId="1823765661">
    <w:abstractNumId w:val="8"/>
  </w:num>
  <w:num w:numId="52" w16cid:durableId="1995330384">
    <w:abstractNumId w:val="8"/>
  </w:num>
  <w:num w:numId="53" w16cid:durableId="1929188023">
    <w:abstractNumId w:val="14"/>
  </w:num>
  <w:num w:numId="54" w16cid:durableId="2066685604">
    <w:abstractNumId w:val="8"/>
  </w:num>
  <w:num w:numId="55" w16cid:durableId="330761844">
    <w:abstractNumId w:val="8"/>
  </w:num>
  <w:num w:numId="56" w16cid:durableId="770778786">
    <w:abstractNumId w:val="8"/>
  </w:num>
  <w:num w:numId="57" w16cid:durableId="1681811726">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2CC4"/>
    <w:rsid w:val="00003C13"/>
    <w:rsid w:val="000048ED"/>
    <w:rsid w:val="00014915"/>
    <w:rsid w:val="000169C9"/>
    <w:rsid w:val="00017382"/>
    <w:rsid w:val="00017478"/>
    <w:rsid w:val="00027E01"/>
    <w:rsid w:val="00041A66"/>
    <w:rsid w:val="000423FE"/>
    <w:rsid w:val="00042D88"/>
    <w:rsid w:val="000430C0"/>
    <w:rsid w:val="00043CB0"/>
    <w:rsid w:val="0005176E"/>
    <w:rsid w:val="00053287"/>
    <w:rsid w:val="00054FBF"/>
    <w:rsid w:val="00055A9A"/>
    <w:rsid w:val="000563C2"/>
    <w:rsid w:val="00064120"/>
    <w:rsid w:val="00073053"/>
    <w:rsid w:val="000765F7"/>
    <w:rsid w:val="0007725F"/>
    <w:rsid w:val="00077AB7"/>
    <w:rsid w:val="00081CD8"/>
    <w:rsid w:val="000829D1"/>
    <w:rsid w:val="000832C1"/>
    <w:rsid w:val="00091600"/>
    <w:rsid w:val="000979F7"/>
    <w:rsid w:val="000A5639"/>
    <w:rsid w:val="000A7F0E"/>
    <w:rsid w:val="000B1C8F"/>
    <w:rsid w:val="000B2942"/>
    <w:rsid w:val="000C0D61"/>
    <w:rsid w:val="000C53B7"/>
    <w:rsid w:val="000D0CE8"/>
    <w:rsid w:val="000D4193"/>
    <w:rsid w:val="000E4940"/>
    <w:rsid w:val="000E6E4B"/>
    <w:rsid w:val="000F3A3F"/>
    <w:rsid w:val="00102557"/>
    <w:rsid w:val="00117152"/>
    <w:rsid w:val="00130366"/>
    <w:rsid w:val="00147A38"/>
    <w:rsid w:val="00164D56"/>
    <w:rsid w:val="00167B10"/>
    <w:rsid w:val="0017402F"/>
    <w:rsid w:val="00190205"/>
    <w:rsid w:val="00193D52"/>
    <w:rsid w:val="001969E7"/>
    <w:rsid w:val="00196C1B"/>
    <w:rsid w:val="001B0F73"/>
    <w:rsid w:val="001B1E01"/>
    <w:rsid w:val="001B62D6"/>
    <w:rsid w:val="001C073E"/>
    <w:rsid w:val="001C2DB7"/>
    <w:rsid w:val="001D14FE"/>
    <w:rsid w:val="001D39AA"/>
    <w:rsid w:val="001D5C04"/>
    <w:rsid w:val="001F26CF"/>
    <w:rsid w:val="001F66D6"/>
    <w:rsid w:val="002159FE"/>
    <w:rsid w:val="00215C3E"/>
    <w:rsid w:val="0021711C"/>
    <w:rsid w:val="00220B39"/>
    <w:rsid w:val="00222A2D"/>
    <w:rsid w:val="00223029"/>
    <w:rsid w:val="002256D0"/>
    <w:rsid w:val="00227D52"/>
    <w:rsid w:val="00234745"/>
    <w:rsid w:val="002351A6"/>
    <w:rsid w:val="00237490"/>
    <w:rsid w:val="00240001"/>
    <w:rsid w:val="002407AF"/>
    <w:rsid w:val="00245501"/>
    <w:rsid w:val="00254B26"/>
    <w:rsid w:val="002559CE"/>
    <w:rsid w:val="0026221A"/>
    <w:rsid w:val="0027466B"/>
    <w:rsid w:val="002814F6"/>
    <w:rsid w:val="00282F01"/>
    <w:rsid w:val="002838A5"/>
    <w:rsid w:val="00285BB4"/>
    <w:rsid w:val="00292978"/>
    <w:rsid w:val="00293958"/>
    <w:rsid w:val="00297BFB"/>
    <w:rsid w:val="002A42E1"/>
    <w:rsid w:val="002C09E3"/>
    <w:rsid w:val="002C6A2C"/>
    <w:rsid w:val="002D1244"/>
    <w:rsid w:val="002E1232"/>
    <w:rsid w:val="002E6D2D"/>
    <w:rsid w:val="002F3CA4"/>
    <w:rsid w:val="002F4748"/>
    <w:rsid w:val="002F6B42"/>
    <w:rsid w:val="00303F7B"/>
    <w:rsid w:val="003057A5"/>
    <w:rsid w:val="00323460"/>
    <w:rsid w:val="003368E3"/>
    <w:rsid w:val="00337CEB"/>
    <w:rsid w:val="00344B58"/>
    <w:rsid w:val="0034539A"/>
    <w:rsid w:val="00345CB4"/>
    <w:rsid w:val="00352482"/>
    <w:rsid w:val="00356576"/>
    <w:rsid w:val="00360A16"/>
    <w:rsid w:val="00361810"/>
    <w:rsid w:val="00365B27"/>
    <w:rsid w:val="00375D42"/>
    <w:rsid w:val="0037718D"/>
    <w:rsid w:val="003869C8"/>
    <w:rsid w:val="00396E77"/>
    <w:rsid w:val="003A4448"/>
    <w:rsid w:val="003B0E58"/>
    <w:rsid w:val="003B22CD"/>
    <w:rsid w:val="003D069C"/>
    <w:rsid w:val="003D75BC"/>
    <w:rsid w:val="003D7646"/>
    <w:rsid w:val="003E09A8"/>
    <w:rsid w:val="003E3C2B"/>
    <w:rsid w:val="003F113A"/>
    <w:rsid w:val="003F3E63"/>
    <w:rsid w:val="00407480"/>
    <w:rsid w:val="00411D34"/>
    <w:rsid w:val="00414643"/>
    <w:rsid w:val="004231C4"/>
    <w:rsid w:val="004313C4"/>
    <w:rsid w:val="00431F1F"/>
    <w:rsid w:val="004421E5"/>
    <w:rsid w:val="00452284"/>
    <w:rsid w:val="0045687D"/>
    <w:rsid w:val="00457C8E"/>
    <w:rsid w:val="00464B9B"/>
    <w:rsid w:val="0047068A"/>
    <w:rsid w:val="00480175"/>
    <w:rsid w:val="004815E1"/>
    <w:rsid w:val="004856CA"/>
    <w:rsid w:val="00487E67"/>
    <w:rsid w:val="004905B6"/>
    <w:rsid w:val="004905D5"/>
    <w:rsid w:val="004906B7"/>
    <w:rsid w:val="0049705E"/>
    <w:rsid w:val="004A2875"/>
    <w:rsid w:val="004A34A0"/>
    <w:rsid w:val="004B381E"/>
    <w:rsid w:val="004C752D"/>
    <w:rsid w:val="004C7C82"/>
    <w:rsid w:val="004D2C36"/>
    <w:rsid w:val="004E5125"/>
    <w:rsid w:val="004F7BA5"/>
    <w:rsid w:val="005008A8"/>
    <w:rsid w:val="0051321C"/>
    <w:rsid w:val="00517FD8"/>
    <w:rsid w:val="00525039"/>
    <w:rsid w:val="00526B7B"/>
    <w:rsid w:val="005274D2"/>
    <w:rsid w:val="005308CE"/>
    <w:rsid w:val="0053120D"/>
    <w:rsid w:val="0053318C"/>
    <w:rsid w:val="005364BF"/>
    <w:rsid w:val="0054535F"/>
    <w:rsid w:val="00546F2F"/>
    <w:rsid w:val="00555437"/>
    <w:rsid w:val="00556997"/>
    <w:rsid w:val="0057439C"/>
    <w:rsid w:val="005852EC"/>
    <w:rsid w:val="005960FA"/>
    <w:rsid w:val="005B0127"/>
    <w:rsid w:val="005B3223"/>
    <w:rsid w:val="005B7A35"/>
    <w:rsid w:val="005C34AD"/>
    <w:rsid w:val="005C4B73"/>
    <w:rsid w:val="005C792B"/>
    <w:rsid w:val="005D6C6B"/>
    <w:rsid w:val="005E1D2B"/>
    <w:rsid w:val="005E4690"/>
    <w:rsid w:val="005E7074"/>
    <w:rsid w:val="005F2BAF"/>
    <w:rsid w:val="00600D93"/>
    <w:rsid w:val="00606659"/>
    <w:rsid w:val="00610534"/>
    <w:rsid w:val="00626BEA"/>
    <w:rsid w:val="0063300C"/>
    <w:rsid w:val="006418D1"/>
    <w:rsid w:val="00642499"/>
    <w:rsid w:val="006446E2"/>
    <w:rsid w:val="00651A5B"/>
    <w:rsid w:val="00655736"/>
    <w:rsid w:val="0065733A"/>
    <w:rsid w:val="00657810"/>
    <w:rsid w:val="00662ADB"/>
    <w:rsid w:val="00663B8D"/>
    <w:rsid w:val="0067031C"/>
    <w:rsid w:val="0067063A"/>
    <w:rsid w:val="006802B1"/>
    <w:rsid w:val="0068602C"/>
    <w:rsid w:val="00696C8D"/>
    <w:rsid w:val="00696E8F"/>
    <w:rsid w:val="006A1294"/>
    <w:rsid w:val="006A2AC2"/>
    <w:rsid w:val="006A3617"/>
    <w:rsid w:val="006A63BC"/>
    <w:rsid w:val="006B4452"/>
    <w:rsid w:val="006B44FC"/>
    <w:rsid w:val="006B5E89"/>
    <w:rsid w:val="006B6174"/>
    <w:rsid w:val="006D7C09"/>
    <w:rsid w:val="006E46E4"/>
    <w:rsid w:val="006E75EB"/>
    <w:rsid w:val="006F05A6"/>
    <w:rsid w:val="006F59C9"/>
    <w:rsid w:val="006F7DB4"/>
    <w:rsid w:val="00703675"/>
    <w:rsid w:val="00710AFF"/>
    <w:rsid w:val="0071522E"/>
    <w:rsid w:val="00717DA5"/>
    <w:rsid w:val="00723DAD"/>
    <w:rsid w:val="0072717A"/>
    <w:rsid w:val="007333D0"/>
    <w:rsid w:val="00742399"/>
    <w:rsid w:val="00744484"/>
    <w:rsid w:val="00744740"/>
    <w:rsid w:val="0074517B"/>
    <w:rsid w:val="00747566"/>
    <w:rsid w:val="00766969"/>
    <w:rsid w:val="00773188"/>
    <w:rsid w:val="00783522"/>
    <w:rsid w:val="00783782"/>
    <w:rsid w:val="00784B8C"/>
    <w:rsid w:val="007879E1"/>
    <w:rsid w:val="007D233A"/>
    <w:rsid w:val="007E1B3A"/>
    <w:rsid w:val="007E57AA"/>
    <w:rsid w:val="007F75E9"/>
    <w:rsid w:val="00801A61"/>
    <w:rsid w:val="00820775"/>
    <w:rsid w:val="00823A11"/>
    <w:rsid w:val="00851A4A"/>
    <w:rsid w:val="0085405E"/>
    <w:rsid w:val="0085414A"/>
    <w:rsid w:val="00856231"/>
    <w:rsid w:val="008578E9"/>
    <w:rsid w:val="00857EB9"/>
    <w:rsid w:val="0086269D"/>
    <w:rsid w:val="00862DD4"/>
    <w:rsid w:val="0086436A"/>
    <w:rsid w:val="0086543A"/>
    <w:rsid w:val="0087093E"/>
    <w:rsid w:val="00871BA1"/>
    <w:rsid w:val="008724E5"/>
    <w:rsid w:val="008765C9"/>
    <w:rsid w:val="0088172F"/>
    <w:rsid w:val="00884A9D"/>
    <w:rsid w:val="0088512B"/>
    <w:rsid w:val="008862CA"/>
    <w:rsid w:val="008911DD"/>
    <w:rsid w:val="00891E9C"/>
    <w:rsid w:val="00895F5D"/>
    <w:rsid w:val="008A2B2D"/>
    <w:rsid w:val="008A4E1E"/>
    <w:rsid w:val="008A6458"/>
    <w:rsid w:val="008A7AEC"/>
    <w:rsid w:val="008B28E4"/>
    <w:rsid w:val="008B45BD"/>
    <w:rsid w:val="008C296C"/>
    <w:rsid w:val="008D4305"/>
    <w:rsid w:val="008E1A85"/>
    <w:rsid w:val="008E344F"/>
    <w:rsid w:val="008E6F4F"/>
    <w:rsid w:val="008F0031"/>
    <w:rsid w:val="008F256E"/>
    <w:rsid w:val="009017EE"/>
    <w:rsid w:val="00905026"/>
    <w:rsid w:val="00907B8E"/>
    <w:rsid w:val="009163A7"/>
    <w:rsid w:val="00916721"/>
    <w:rsid w:val="00916ADD"/>
    <w:rsid w:val="009249AB"/>
    <w:rsid w:val="0093085F"/>
    <w:rsid w:val="009320F0"/>
    <w:rsid w:val="00936D4A"/>
    <w:rsid w:val="00937D53"/>
    <w:rsid w:val="00946D0B"/>
    <w:rsid w:val="0094766F"/>
    <w:rsid w:val="00955877"/>
    <w:rsid w:val="00962034"/>
    <w:rsid w:val="00976D89"/>
    <w:rsid w:val="00977211"/>
    <w:rsid w:val="009858BB"/>
    <w:rsid w:val="009947DE"/>
    <w:rsid w:val="009A18CD"/>
    <w:rsid w:val="009C6319"/>
    <w:rsid w:val="009D066C"/>
    <w:rsid w:val="009D0F56"/>
    <w:rsid w:val="009D3023"/>
    <w:rsid w:val="009D5428"/>
    <w:rsid w:val="009D6EE6"/>
    <w:rsid w:val="009E4D70"/>
    <w:rsid w:val="009F1FD3"/>
    <w:rsid w:val="009F7F73"/>
    <w:rsid w:val="00A00507"/>
    <w:rsid w:val="00A07720"/>
    <w:rsid w:val="00A12558"/>
    <w:rsid w:val="00A13903"/>
    <w:rsid w:val="00A31B7E"/>
    <w:rsid w:val="00A34ED5"/>
    <w:rsid w:val="00A4457D"/>
    <w:rsid w:val="00A45D32"/>
    <w:rsid w:val="00A45DBF"/>
    <w:rsid w:val="00A67391"/>
    <w:rsid w:val="00A725CF"/>
    <w:rsid w:val="00A73080"/>
    <w:rsid w:val="00A744F1"/>
    <w:rsid w:val="00A755A2"/>
    <w:rsid w:val="00A75B98"/>
    <w:rsid w:val="00A8111A"/>
    <w:rsid w:val="00A91430"/>
    <w:rsid w:val="00AA590D"/>
    <w:rsid w:val="00AA6660"/>
    <w:rsid w:val="00AB2C36"/>
    <w:rsid w:val="00AB6DDE"/>
    <w:rsid w:val="00AB70B6"/>
    <w:rsid w:val="00AC18C1"/>
    <w:rsid w:val="00AC3549"/>
    <w:rsid w:val="00AC4BF9"/>
    <w:rsid w:val="00AD1A86"/>
    <w:rsid w:val="00AD5C46"/>
    <w:rsid w:val="00AD6C1F"/>
    <w:rsid w:val="00AD72B1"/>
    <w:rsid w:val="00AE103E"/>
    <w:rsid w:val="00AE212F"/>
    <w:rsid w:val="00AE54F3"/>
    <w:rsid w:val="00AF0A07"/>
    <w:rsid w:val="00AF244C"/>
    <w:rsid w:val="00AF3FF2"/>
    <w:rsid w:val="00AF4107"/>
    <w:rsid w:val="00AF4AEC"/>
    <w:rsid w:val="00AF625E"/>
    <w:rsid w:val="00B05A76"/>
    <w:rsid w:val="00B079E7"/>
    <w:rsid w:val="00B139BE"/>
    <w:rsid w:val="00B2172B"/>
    <w:rsid w:val="00B23753"/>
    <w:rsid w:val="00B264AB"/>
    <w:rsid w:val="00B30877"/>
    <w:rsid w:val="00B3390D"/>
    <w:rsid w:val="00B34428"/>
    <w:rsid w:val="00B40034"/>
    <w:rsid w:val="00B64020"/>
    <w:rsid w:val="00B67733"/>
    <w:rsid w:val="00B726DB"/>
    <w:rsid w:val="00B73C3B"/>
    <w:rsid w:val="00B75825"/>
    <w:rsid w:val="00B77CEB"/>
    <w:rsid w:val="00B917D2"/>
    <w:rsid w:val="00B964ED"/>
    <w:rsid w:val="00B97EB3"/>
    <w:rsid w:val="00BA241A"/>
    <w:rsid w:val="00BA5F94"/>
    <w:rsid w:val="00BB04AF"/>
    <w:rsid w:val="00BB380D"/>
    <w:rsid w:val="00BB6EEC"/>
    <w:rsid w:val="00BC39DE"/>
    <w:rsid w:val="00BD52C9"/>
    <w:rsid w:val="00BD7CC8"/>
    <w:rsid w:val="00BE6354"/>
    <w:rsid w:val="00BF5C3A"/>
    <w:rsid w:val="00C03E96"/>
    <w:rsid w:val="00C04412"/>
    <w:rsid w:val="00C10438"/>
    <w:rsid w:val="00C110E9"/>
    <w:rsid w:val="00C138D1"/>
    <w:rsid w:val="00C1532B"/>
    <w:rsid w:val="00C16B33"/>
    <w:rsid w:val="00C23A97"/>
    <w:rsid w:val="00C3291E"/>
    <w:rsid w:val="00C40823"/>
    <w:rsid w:val="00C42679"/>
    <w:rsid w:val="00C445E5"/>
    <w:rsid w:val="00C45B17"/>
    <w:rsid w:val="00C52EBE"/>
    <w:rsid w:val="00C5776D"/>
    <w:rsid w:val="00C64855"/>
    <w:rsid w:val="00C65C52"/>
    <w:rsid w:val="00C702F4"/>
    <w:rsid w:val="00C70EA7"/>
    <w:rsid w:val="00C7183C"/>
    <w:rsid w:val="00C7433F"/>
    <w:rsid w:val="00C7516E"/>
    <w:rsid w:val="00C75770"/>
    <w:rsid w:val="00C80BB6"/>
    <w:rsid w:val="00C812B1"/>
    <w:rsid w:val="00C8662F"/>
    <w:rsid w:val="00C91319"/>
    <w:rsid w:val="00CA56BB"/>
    <w:rsid w:val="00CB0542"/>
    <w:rsid w:val="00CB2DA5"/>
    <w:rsid w:val="00CC1DEF"/>
    <w:rsid w:val="00CC7552"/>
    <w:rsid w:val="00CE29B9"/>
    <w:rsid w:val="00CF02BE"/>
    <w:rsid w:val="00CF1B20"/>
    <w:rsid w:val="00D00B2B"/>
    <w:rsid w:val="00D0155E"/>
    <w:rsid w:val="00D02258"/>
    <w:rsid w:val="00D072AD"/>
    <w:rsid w:val="00D11A3C"/>
    <w:rsid w:val="00D11BE4"/>
    <w:rsid w:val="00D125B9"/>
    <w:rsid w:val="00D212B2"/>
    <w:rsid w:val="00D24877"/>
    <w:rsid w:val="00D40112"/>
    <w:rsid w:val="00D44AC8"/>
    <w:rsid w:val="00D55B1F"/>
    <w:rsid w:val="00D5697E"/>
    <w:rsid w:val="00D63318"/>
    <w:rsid w:val="00D6530B"/>
    <w:rsid w:val="00D7105A"/>
    <w:rsid w:val="00D77E42"/>
    <w:rsid w:val="00D8250F"/>
    <w:rsid w:val="00D86BB3"/>
    <w:rsid w:val="00D95C4C"/>
    <w:rsid w:val="00DA327D"/>
    <w:rsid w:val="00DA36ED"/>
    <w:rsid w:val="00DA4358"/>
    <w:rsid w:val="00DA4EFF"/>
    <w:rsid w:val="00DB6495"/>
    <w:rsid w:val="00DC1332"/>
    <w:rsid w:val="00DC19A8"/>
    <w:rsid w:val="00DC49CB"/>
    <w:rsid w:val="00DC4ED2"/>
    <w:rsid w:val="00DC683A"/>
    <w:rsid w:val="00DD0801"/>
    <w:rsid w:val="00DE34F1"/>
    <w:rsid w:val="00DE4387"/>
    <w:rsid w:val="00DE4D42"/>
    <w:rsid w:val="00DE6160"/>
    <w:rsid w:val="00DF16EA"/>
    <w:rsid w:val="00DF4942"/>
    <w:rsid w:val="00E01FDF"/>
    <w:rsid w:val="00E134F2"/>
    <w:rsid w:val="00E2125F"/>
    <w:rsid w:val="00E22C10"/>
    <w:rsid w:val="00E244E1"/>
    <w:rsid w:val="00E26C99"/>
    <w:rsid w:val="00E31740"/>
    <w:rsid w:val="00E33C76"/>
    <w:rsid w:val="00E3435D"/>
    <w:rsid w:val="00E353A5"/>
    <w:rsid w:val="00E4150C"/>
    <w:rsid w:val="00E431A5"/>
    <w:rsid w:val="00E44F03"/>
    <w:rsid w:val="00E47FCE"/>
    <w:rsid w:val="00E627B1"/>
    <w:rsid w:val="00E63D35"/>
    <w:rsid w:val="00E70169"/>
    <w:rsid w:val="00E7159B"/>
    <w:rsid w:val="00E8372D"/>
    <w:rsid w:val="00E84279"/>
    <w:rsid w:val="00E9376C"/>
    <w:rsid w:val="00E95AE2"/>
    <w:rsid w:val="00EA121D"/>
    <w:rsid w:val="00EA335E"/>
    <w:rsid w:val="00EA528C"/>
    <w:rsid w:val="00EA580C"/>
    <w:rsid w:val="00EB126F"/>
    <w:rsid w:val="00EC099F"/>
    <w:rsid w:val="00EC6F8D"/>
    <w:rsid w:val="00EC7742"/>
    <w:rsid w:val="00ED39B2"/>
    <w:rsid w:val="00ED64D7"/>
    <w:rsid w:val="00ED67F9"/>
    <w:rsid w:val="00EE49F4"/>
    <w:rsid w:val="00EF34E2"/>
    <w:rsid w:val="00F01B97"/>
    <w:rsid w:val="00F03479"/>
    <w:rsid w:val="00F03949"/>
    <w:rsid w:val="00F11D4D"/>
    <w:rsid w:val="00F1417A"/>
    <w:rsid w:val="00F23DCF"/>
    <w:rsid w:val="00F2534C"/>
    <w:rsid w:val="00F30DC6"/>
    <w:rsid w:val="00F31F96"/>
    <w:rsid w:val="00F32C23"/>
    <w:rsid w:val="00F3313D"/>
    <w:rsid w:val="00F53DE9"/>
    <w:rsid w:val="00F561D6"/>
    <w:rsid w:val="00F568BD"/>
    <w:rsid w:val="00F576CB"/>
    <w:rsid w:val="00F7035D"/>
    <w:rsid w:val="00F70CC5"/>
    <w:rsid w:val="00F71A02"/>
    <w:rsid w:val="00F93852"/>
    <w:rsid w:val="00FA0D63"/>
    <w:rsid w:val="00FA1291"/>
    <w:rsid w:val="00FA4860"/>
    <w:rsid w:val="00FC09D0"/>
    <w:rsid w:val="00FC3C10"/>
    <w:rsid w:val="00FC493A"/>
    <w:rsid w:val="00FD1226"/>
    <w:rsid w:val="00FD243E"/>
    <w:rsid w:val="00FD4BC8"/>
    <w:rsid w:val="00FE3826"/>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fr-FR"/>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fr-FR"/>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fr-FR"/>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uiPriority w:val="99"/>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rsid w:val="004A2875"/>
    <w:pPr>
      <w:ind w:left="720"/>
      <w:contextualSpacing/>
    </w:pPr>
  </w:style>
  <w:style w:type="paragraph" w:styleId="Notedebasdepage">
    <w:name w:val="footnote text"/>
    <w:basedOn w:val="Normal"/>
    <w:link w:val="NotedebasdepageCar"/>
    <w:uiPriority w:val="99"/>
    <w:unhideWhenUsed/>
    <w:rsid w:val="004313C4"/>
    <w:rPr>
      <w:sz w:val="20"/>
      <w:szCs w:val="20"/>
    </w:rPr>
  </w:style>
  <w:style w:type="character" w:customStyle="1" w:styleId="NotedebasdepageCar">
    <w:name w:val="Note de bas de page Car"/>
    <w:basedOn w:val="Policepardfaut"/>
    <w:link w:val="Notedebasdepage"/>
    <w:uiPriority w:val="99"/>
    <w:rsid w:val="004313C4"/>
    <w:rPr>
      <w:rFonts w:ascii="Times New Roman" w:eastAsia="Times New Roman" w:hAnsi="Times New Roman"/>
    </w:rPr>
  </w:style>
  <w:style w:type="character" w:styleId="Appelnotedebasdep">
    <w:name w:val="footnote reference"/>
    <w:basedOn w:val="Policepardfaut"/>
    <w:uiPriority w:val="99"/>
    <w:semiHidden/>
    <w:unhideWhenUsed/>
    <w:rsid w:val="004313C4"/>
    <w:rPr>
      <w:vertAlign w:val="superscript"/>
    </w:rPr>
  </w:style>
  <w:style w:type="paragraph" w:customStyle="1" w:styleId="GAParaResolution">
    <w:name w:val="GA Para Resolution"/>
    <w:basedOn w:val="Normal"/>
    <w:qFormat/>
    <w:rsid w:val="005C792B"/>
    <w:pPr>
      <w:autoSpaceDE w:val="0"/>
      <w:autoSpaceDN w:val="0"/>
      <w:adjustRightInd w:val="0"/>
      <w:spacing w:after="120"/>
      <w:ind w:left="1287" w:hanging="360"/>
      <w:jc w:val="both"/>
    </w:pPr>
    <w:rPr>
      <w:rFonts w:ascii="Arial" w:eastAsia="SimSun" w:hAnsi="Arial" w:cs="Arial"/>
      <w:sz w:val="22"/>
      <w:szCs w:val="22"/>
      <w:u w:val="single"/>
    </w:rPr>
  </w:style>
  <w:style w:type="character" w:styleId="Lienhypertexte">
    <w:name w:val="Hyperlink"/>
    <w:basedOn w:val="Policepardfaut"/>
    <w:uiPriority w:val="99"/>
    <w:unhideWhenUsed/>
    <w:rsid w:val="00FC493A"/>
    <w:rPr>
      <w:color w:val="0563C1"/>
      <w:u w:val="single"/>
    </w:rPr>
  </w:style>
  <w:style w:type="character" w:styleId="Mentionnonrsolue">
    <w:name w:val="Unresolved Mention"/>
    <w:basedOn w:val="Policepardfaut"/>
    <w:uiPriority w:val="99"/>
    <w:semiHidden/>
    <w:unhideWhenUsed/>
    <w:rsid w:val="000423FE"/>
    <w:rPr>
      <w:color w:val="605E5C"/>
      <w:shd w:val="clear" w:color="auto" w:fill="E1DFDD"/>
    </w:rPr>
  </w:style>
  <w:style w:type="character" w:styleId="Lienhypertextesuivivisit">
    <w:name w:val="FollowedHyperlink"/>
    <w:basedOn w:val="Policepardfaut"/>
    <w:uiPriority w:val="99"/>
    <w:semiHidden/>
    <w:unhideWhenUsed/>
    <w:rsid w:val="002A42E1"/>
    <w:rPr>
      <w:color w:val="800080" w:themeColor="followedHyperlink"/>
      <w:u w:val="single"/>
    </w:rPr>
  </w:style>
  <w:style w:type="character" w:styleId="Marquedecommentaire">
    <w:name w:val="annotation reference"/>
    <w:basedOn w:val="Policepardfaut"/>
    <w:uiPriority w:val="99"/>
    <w:semiHidden/>
    <w:unhideWhenUsed/>
    <w:rsid w:val="009D3023"/>
    <w:rPr>
      <w:sz w:val="16"/>
      <w:szCs w:val="16"/>
    </w:rPr>
  </w:style>
  <w:style w:type="paragraph" w:styleId="Commentaire">
    <w:name w:val="annotation text"/>
    <w:basedOn w:val="Normal"/>
    <w:link w:val="CommentaireCar"/>
    <w:uiPriority w:val="99"/>
    <w:unhideWhenUsed/>
    <w:rsid w:val="009D3023"/>
    <w:rPr>
      <w:sz w:val="20"/>
      <w:szCs w:val="20"/>
    </w:rPr>
  </w:style>
  <w:style w:type="character" w:customStyle="1" w:styleId="CommentaireCar">
    <w:name w:val="Commentaire Car"/>
    <w:basedOn w:val="Policepardfaut"/>
    <w:link w:val="Commentaire"/>
    <w:uiPriority w:val="99"/>
    <w:rsid w:val="009D3023"/>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9D3023"/>
    <w:rPr>
      <w:b/>
      <w:bCs/>
    </w:rPr>
  </w:style>
  <w:style w:type="character" w:customStyle="1" w:styleId="ObjetducommentaireCar">
    <w:name w:val="Objet du commentaire Car"/>
    <w:basedOn w:val="CommentaireCar"/>
    <w:link w:val="Objetducommentaire"/>
    <w:uiPriority w:val="99"/>
    <w:semiHidden/>
    <w:rsid w:val="009D3023"/>
    <w:rPr>
      <w:rFonts w:ascii="Times New Roman" w:eastAsia="Times New Roman" w:hAnsi="Times New Roman"/>
      <w:b/>
      <w:bCs/>
    </w:rPr>
  </w:style>
  <w:style w:type="paragraph" w:styleId="Rvision">
    <w:name w:val="Revision"/>
    <w:hidden/>
    <w:uiPriority w:val="99"/>
    <w:semiHidden/>
    <w:rsid w:val="00C7183C"/>
    <w:rPr>
      <w:rFonts w:ascii="Times New Roman" w:eastAsia="Times New Roman" w:hAnsi="Times New Roman"/>
      <w:sz w:val="24"/>
      <w:szCs w:val="24"/>
    </w:rPr>
  </w:style>
  <w:style w:type="character" w:customStyle="1" w:styleId="ui-provider">
    <w:name w:val="ui-provider"/>
    <w:basedOn w:val="Policepardfaut"/>
    <w:rsid w:val="00FA4860"/>
  </w:style>
  <w:style w:type="character" w:styleId="lev">
    <w:name w:val="Strong"/>
    <w:basedOn w:val="Policepardfaut"/>
    <w:uiPriority w:val="22"/>
    <w:qFormat/>
    <w:rsid w:val="00F561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fr/Decisions/9.GA/13" TargetMode="External"/><Relationship Id="rId13" Type="http://schemas.openxmlformats.org/officeDocument/2006/relationships/hyperlink" Target="https://trello.com/b/HVCYR3Rj/ich-20th-anniversary-2023" TargetMode="External"/><Relationship Id="rId18" Type="http://schemas.openxmlformats.org/officeDocument/2006/relationships/hyperlink" Target="https://www.unesco.org/sites/default/files/medias/fichiers/2023/11/UNESCO_CALL_FOR_ACTION_NAPLES.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ich.unesco.org/fr/Decisions/9.GA/13" TargetMode="External"/><Relationship Id="rId7" Type="http://schemas.openxmlformats.org/officeDocument/2006/relationships/endnotes" Target="endnotes.xml"/><Relationship Id="rId12" Type="http://schemas.openxmlformats.org/officeDocument/2006/relationships/hyperlink" Target="https://ich.unesco.org/fr/anniversaire" TargetMode="External"/><Relationship Id="rId17" Type="http://schemas.openxmlformats.org/officeDocument/2006/relationships/hyperlink" Target="https://www.unesco.org/fr/culture/naples-conferenc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ch.unesco.org/doc/src/61291-FR.pdf" TargetMode="External"/><Relationship Id="rId20" Type="http://schemas.openxmlformats.org/officeDocument/2006/relationships/hyperlink" Target="https://unesdoc.unesco.org/ark:/48223/pf0000388394_f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download.php?versionID=7067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ch.unesco.org/fr/decisions/18.COM/6" TargetMode="External"/><Relationship Id="rId23" Type="http://schemas.openxmlformats.org/officeDocument/2006/relationships/hyperlink" Target="https://unesdoc.unesco.org/ark:/48223/pf0000388394_fre" TargetMode="External"/><Relationship Id="rId28" Type="http://schemas.openxmlformats.org/officeDocument/2006/relationships/theme" Target="theme/theme1.xml"/><Relationship Id="rId10" Type="http://schemas.openxmlformats.org/officeDocument/2006/relationships/hyperlink" Target="https://ich.unesco.org/fr/decisions/18.COM/6" TargetMode="External"/><Relationship Id="rId19" Type="http://schemas.openxmlformats.org/officeDocument/2006/relationships/hyperlink" Target="https://unesdoc.unesco.org/ark:/48223/pf0000388394_fre" TargetMode="External"/><Relationship Id="rId4" Type="http://schemas.openxmlformats.org/officeDocument/2006/relationships/settings" Target="settings.xml"/><Relationship Id="rId9" Type="http://schemas.openxmlformats.org/officeDocument/2006/relationships/hyperlink" Target="https://ich.unesco.org/doc/src/LHE-23-18.COM-6_FR_Rev.docx" TargetMode="External"/><Relationship Id="rId14" Type="http://schemas.openxmlformats.org/officeDocument/2006/relationships/hyperlink" Target="https://ich.unesco.org/fr/Decisions/9.GA/13" TargetMode="External"/><Relationship Id="rId22" Type="http://schemas.openxmlformats.org/officeDocument/2006/relationships/hyperlink" Target="https://ich.unesco.org/fr/decisions/18.COM/6"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nesdoc.unesco.org/ark:/48223/pf0000388219" TargetMode="External"/><Relationship Id="rId2" Type="http://schemas.openxmlformats.org/officeDocument/2006/relationships/hyperlink" Target="https://www.gob.pe/institucion/cultura/campa%C3%B1as/40108-foro-internacional-patrimonio-vivo-latinoamericano" TargetMode="External"/><Relationship Id="rId1" Type="http://schemas.openxmlformats.org/officeDocument/2006/relationships/hyperlink" Target="https://ich.unesco.org/fr/activites/semaine-de-l-amerique-latine-et-des-caraibes-20-ans-de-la-convention-de-2003-patrimoine-vivant-jeunesse-et-peid-00367" TargetMode="External"/><Relationship Id="rId5" Type="http://schemas.openxmlformats.org/officeDocument/2006/relationships/hyperlink" Target="https://www.unesco.org/fr/culture/naples-conference" TargetMode="External"/><Relationship Id="rId4" Type="http://schemas.openxmlformats.org/officeDocument/2006/relationships/hyperlink" Target="https://ich.unesco.org/fr/evenements/celebration-du-20e-anniversaire-de-la-convention-de-2003-a-seoul-0097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1588</TotalTime>
  <Pages>5</Pages>
  <Words>2274</Words>
  <Characters>12966</Characters>
  <Application>Microsoft Office Word</Application>
  <DocSecurity>0</DocSecurity>
  <Lines>108</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Ohinata, Fumiko</cp:lastModifiedBy>
  <cp:revision>191</cp:revision>
  <cp:lastPrinted>2011-08-06T10:22:00Z</cp:lastPrinted>
  <dcterms:created xsi:type="dcterms:W3CDTF">2020-04-15T10:53:00Z</dcterms:created>
  <dcterms:modified xsi:type="dcterms:W3CDTF">2024-05-13T18:32:00Z</dcterms:modified>
</cp:coreProperties>
</file>