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0631F9" w:rsidRDefault="00EC6F8D" w:rsidP="00EC6F8D">
      <w:pPr>
        <w:spacing w:before="1440"/>
        <w:jc w:val="center"/>
        <w:rPr>
          <w:rFonts w:ascii="Arial" w:hAnsi="Arial" w:cs="Arial"/>
          <w:b/>
          <w:sz w:val="22"/>
          <w:szCs w:val="22"/>
        </w:rPr>
      </w:pPr>
      <w:r>
        <w:rPr>
          <w:rFonts w:ascii="Arial" w:hAnsi="Arial"/>
          <w:b/>
          <w:sz w:val="22"/>
        </w:rPr>
        <w:t>CONVENCIÓN PARA LA SALVAGUARDIA DEL</w:t>
      </w:r>
      <w:r>
        <w:rPr>
          <w:rFonts w:ascii="Arial" w:hAnsi="Arial"/>
          <w:b/>
          <w:sz w:val="22"/>
        </w:rPr>
        <w:br/>
        <w:t>PATRIMONIO CULTURAL INMATERIAL</w:t>
      </w:r>
    </w:p>
    <w:p w14:paraId="3F72B1D3" w14:textId="37133200" w:rsidR="00EC6F8D" w:rsidRPr="000631F9" w:rsidRDefault="005C792B" w:rsidP="00EC6F8D">
      <w:pPr>
        <w:spacing w:before="1200"/>
        <w:jc w:val="center"/>
        <w:rPr>
          <w:rFonts w:ascii="Arial" w:hAnsi="Arial" w:cs="Arial"/>
          <w:b/>
          <w:sz w:val="22"/>
          <w:szCs w:val="22"/>
        </w:rPr>
      </w:pPr>
      <w:r>
        <w:rPr>
          <w:rFonts w:ascii="Arial" w:hAnsi="Arial"/>
          <w:b/>
          <w:sz w:val="22"/>
        </w:rPr>
        <w:t xml:space="preserve">ASAMBLEA GENERAL DE LOS </w:t>
      </w:r>
      <w:proofErr w:type="gramStart"/>
      <w:r>
        <w:rPr>
          <w:rFonts w:ascii="Arial" w:hAnsi="Arial"/>
          <w:b/>
          <w:sz w:val="22"/>
        </w:rPr>
        <w:t>ESTADOS PARTES</w:t>
      </w:r>
      <w:proofErr w:type="gramEnd"/>
      <w:r>
        <w:rPr>
          <w:rFonts w:ascii="Arial" w:hAnsi="Arial"/>
          <w:b/>
          <w:sz w:val="22"/>
        </w:rPr>
        <w:t xml:space="preserve"> EN LA CONVENCIÓN</w:t>
      </w:r>
    </w:p>
    <w:p w14:paraId="2E1CD4B4" w14:textId="1F59B9D4" w:rsidR="00EC6F8D" w:rsidRPr="000631F9" w:rsidRDefault="005C792B" w:rsidP="001D14FE">
      <w:pPr>
        <w:spacing w:before="840"/>
        <w:jc w:val="center"/>
        <w:rPr>
          <w:rFonts w:ascii="Arial" w:hAnsi="Arial" w:cs="Arial"/>
          <w:b/>
          <w:sz w:val="22"/>
          <w:szCs w:val="22"/>
        </w:rPr>
      </w:pPr>
      <w:r>
        <w:rPr>
          <w:rFonts w:ascii="Arial" w:hAnsi="Arial"/>
          <w:b/>
          <w:sz w:val="22"/>
        </w:rPr>
        <w:t>Décima reunión</w:t>
      </w:r>
    </w:p>
    <w:p w14:paraId="1FD89575" w14:textId="05D2C62D" w:rsidR="00B2172B" w:rsidRPr="000631F9" w:rsidRDefault="005C792B" w:rsidP="00B2172B">
      <w:pPr>
        <w:jc w:val="center"/>
        <w:rPr>
          <w:rFonts w:ascii="Arial" w:hAnsi="Arial" w:cs="Arial"/>
          <w:b/>
          <w:sz w:val="22"/>
          <w:szCs w:val="22"/>
        </w:rPr>
      </w:pPr>
      <w:r>
        <w:rPr>
          <w:rFonts w:ascii="Arial" w:hAnsi="Arial"/>
          <w:b/>
          <w:sz w:val="22"/>
        </w:rPr>
        <w:t>Sede de la UNESCO, Sala I</w:t>
      </w:r>
    </w:p>
    <w:p w14:paraId="52EA6D50" w14:textId="3226AFCE" w:rsidR="00B2172B" w:rsidRPr="000631F9" w:rsidRDefault="0054535F" w:rsidP="00B2172B">
      <w:pPr>
        <w:jc w:val="center"/>
        <w:rPr>
          <w:rFonts w:ascii="Arial" w:hAnsi="Arial" w:cs="Arial"/>
          <w:b/>
          <w:sz w:val="22"/>
          <w:szCs w:val="22"/>
        </w:rPr>
      </w:pPr>
      <w:r>
        <w:rPr>
          <w:rFonts w:ascii="Arial" w:hAnsi="Arial"/>
          <w:b/>
          <w:sz w:val="22"/>
        </w:rPr>
        <w:t>11 a</w:t>
      </w:r>
      <w:r w:rsidR="0061635A">
        <w:rPr>
          <w:rFonts w:ascii="Arial" w:hAnsi="Arial"/>
          <w:b/>
          <w:sz w:val="22"/>
        </w:rPr>
        <w:t>l</w:t>
      </w:r>
      <w:r>
        <w:rPr>
          <w:rFonts w:ascii="Arial" w:hAnsi="Arial"/>
          <w:b/>
          <w:sz w:val="22"/>
        </w:rPr>
        <w:t xml:space="preserve"> 1</w:t>
      </w:r>
      <w:r w:rsidR="007A14FD">
        <w:rPr>
          <w:rFonts w:ascii="Arial" w:hAnsi="Arial"/>
          <w:b/>
          <w:sz w:val="22"/>
        </w:rPr>
        <w:t>2</w:t>
      </w:r>
      <w:r>
        <w:rPr>
          <w:rFonts w:ascii="Arial" w:hAnsi="Arial"/>
          <w:b/>
          <w:sz w:val="22"/>
        </w:rPr>
        <w:t xml:space="preserve"> de junio de 2024</w:t>
      </w:r>
    </w:p>
    <w:p w14:paraId="0365203A" w14:textId="6769D49A" w:rsidR="00EC6F8D" w:rsidRPr="000631F9" w:rsidRDefault="00EC6F8D" w:rsidP="00EC6F8D">
      <w:pPr>
        <w:pStyle w:val="Sansinterligne2"/>
        <w:spacing w:before="1200"/>
        <w:jc w:val="center"/>
        <w:rPr>
          <w:rFonts w:ascii="Arial" w:hAnsi="Arial" w:cs="Arial"/>
          <w:b/>
          <w:sz w:val="22"/>
          <w:szCs w:val="22"/>
        </w:rPr>
      </w:pPr>
      <w:r>
        <w:rPr>
          <w:rFonts w:ascii="Arial" w:hAnsi="Arial"/>
          <w:b/>
          <w:sz w:val="22"/>
          <w:u w:val="single"/>
        </w:rPr>
        <w:t>Punto 7 del orden del día provisional</w:t>
      </w:r>
      <w:r>
        <w:rPr>
          <w:rFonts w:ascii="Arial" w:hAnsi="Arial"/>
          <w:b/>
          <w:sz w:val="22"/>
        </w:rPr>
        <w:t>:</w:t>
      </w:r>
    </w:p>
    <w:p w14:paraId="59920478" w14:textId="1E45553A" w:rsidR="004A2875" w:rsidRPr="000631F9" w:rsidRDefault="007A14FD" w:rsidP="004A2875">
      <w:pPr>
        <w:pStyle w:val="Sansinterligne2"/>
        <w:spacing w:after="960"/>
        <w:jc w:val="center"/>
        <w:rPr>
          <w:rFonts w:ascii="Arial" w:hAnsi="Arial" w:cs="Arial"/>
          <w:bCs/>
          <w:sz w:val="22"/>
          <w:szCs w:val="22"/>
        </w:rPr>
      </w:pPr>
      <w:r w:rsidRPr="0061635A">
        <w:rPr>
          <w:rFonts w:ascii="Arial" w:hAnsi="Arial"/>
          <w:b/>
          <w:sz w:val="22"/>
        </w:rPr>
        <w:t>P</w:t>
      </w:r>
      <w:r w:rsidR="005A74ED" w:rsidRPr="00FA3C87">
        <w:rPr>
          <w:rFonts w:ascii="Arial" w:hAnsi="Arial"/>
          <w:b/>
          <w:sz w:val="22"/>
        </w:rPr>
        <w:t>ropuesta</w:t>
      </w:r>
      <w:r w:rsidR="00FA3C87" w:rsidRPr="0061635A">
        <w:rPr>
          <w:rFonts w:ascii="Arial" w:hAnsi="Arial"/>
          <w:b/>
          <w:sz w:val="22"/>
        </w:rPr>
        <w:t>s</w:t>
      </w:r>
      <w:r w:rsidRPr="0061635A">
        <w:rPr>
          <w:rFonts w:ascii="Arial" w:hAnsi="Arial"/>
          <w:b/>
          <w:sz w:val="22"/>
        </w:rPr>
        <w:t xml:space="preserve"> de revisión</w:t>
      </w:r>
      <w:r w:rsidR="005A74ED" w:rsidRPr="00FA3C87">
        <w:rPr>
          <w:rFonts w:ascii="Arial" w:hAnsi="Arial"/>
          <w:b/>
          <w:sz w:val="22"/>
        </w:rPr>
        <w:t xml:space="preserve"> </w:t>
      </w:r>
      <w:r w:rsidRPr="00FA3C87">
        <w:rPr>
          <w:rFonts w:ascii="Arial" w:hAnsi="Arial"/>
          <w:b/>
          <w:sz w:val="22"/>
        </w:rPr>
        <w:t>de</w:t>
      </w:r>
      <w:r w:rsidR="005A74ED" w:rsidRPr="00FA3C87">
        <w:rPr>
          <w:rFonts w:ascii="Arial" w:hAnsi="Arial"/>
          <w:b/>
          <w:sz w:val="22"/>
        </w:rPr>
        <w:t xml:space="preserve"> las Directrices Operativas </w:t>
      </w:r>
      <w:r w:rsidR="005A74ED" w:rsidRPr="00FA3C87">
        <w:rPr>
          <w:rFonts w:ascii="Arial" w:hAnsi="Arial"/>
          <w:b/>
          <w:sz w:val="22"/>
        </w:rPr>
        <w:br/>
        <w:t>para la aplicación de la Convención</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0631F9" w14:paraId="75AC6221" w14:textId="77777777" w:rsidTr="00CB4318">
        <w:trPr>
          <w:trHeight w:val="2903"/>
          <w:jc w:val="center"/>
        </w:trPr>
        <w:tc>
          <w:tcPr>
            <w:tcW w:w="5670" w:type="dxa"/>
            <w:vAlign w:val="center"/>
          </w:tcPr>
          <w:p w14:paraId="51C260A9" w14:textId="77777777" w:rsidR="00EC6F8D" w:rsidRPr="000631F9" w:rsidRDefault="00EC6F8D" w:rsidP="00CA56BB">
            <w:pPr>
              <w:pStyle w:val="Sansinterligne1"/>
              <w:spacing w:before="200" w:after="200"/>
              <w:jc w:val="center"/>
              <w:rPr>
                <w:rFonts w:ascii="Arial" w:hAnsi="Arial" w:cs="Arial"/>
                <w:b/>
                <w:sz w:val="22"/>
                <w:szCs w:val="22"/>
              </w:rPr>
            </w:pPr>
            <w:r>
              <w:rPr>
                <w:rFonts w:ascii="Arial" w:hAnsi="Arial"/>
                <w:b/>
                <w:sz w:val="22"/>
              </w:rPr>
              <w:t>Resumen</w:t>
            </w:r>
          </w:p>
          <w:p w14:paraId="612E5DE6" w14:textId="0A7DB9D2" w:rsidR="00BB6EEC" w:rsidRPr="000631F9" w:rsidRDefault="00FA030C" w:rsidP="00BB6EEC">
            <w:pPr>
              <w:pStyle w:val="Sansinterligne1"/>
              <w:jc w:val="both"/>
              <w:rPr>
                <w:rFonts w:ascii="Arial" w:hAnsi="Arial" w:cs="Arial"/>
                <w:bCs/>
                <w:sz w:val="22"/>
                <w:szCs w:val="22"/>
              </w:rPr>
            </w:pPr>
            <w:r w:rsidRPr="00FA3C87">
              <w:rPr>
                <w:rFonts w:ascii="Arial" w:hAnsi="Arial"/>
                <w:sz w:val="22"/>
              </w:rPr>
              <w:t>Se solicita a la presente reunión de la Asamblea General que apruebe las enmiendas propuestas a las Directrices Operativas con el fin de simplificar los criterios de selección para el Registro de Buenas Prácticas de Salvaguardia, así como para ampliar el acceso a la asistencia internacional preparatoria.</w:t>
            </w:r>
          </w:p>
          <w:p w14:paraId="290310E8" w14:textId="430F12BF" w:rsidR="00EC6F8D" w:rsidRPr="000631F9" w:rsidRDefault="00EC6F8D" w:rsidP="00CA56BB">
            <w:pPr>
              <w:pStyle w:val="Sansinterligne2"/>
              <w:spacing w:before="200" w:after="200"/>
              <w:jc w:val="both"/>
              <w:rPr>
                <w:rFonts w:ascii="Arial" w:hAnsi="Arial" w:cs="Arial"/>
                <w:b/>
                <w:sz w:val="22"/>
                <w:szCs w:val="22"/>
              </w:rPr>
            </w:pPr>
            <w:r>
              <w:rPr>
                <w:rFonts w:ascii="Arial" w:hAnsi="Arial"/>
                <w:b/>
                <w:sz w:val="22"/>
              </w:rPr>
              <w:t xml:space="preserve">Decisión requerida: </w:t>
            </w:r>
            <w:r>
              <w:rPr>
                <w:rFonts w:ascii="Arial" w:hAnsi="Arial"/>
                <w:sz w:val="22"/>
              </w:rPr>
              <w:t>párrafo 16</w:t>
            </w:r>
          </w:p>
        </w:tc>
      </w:tr>
    </w:tbl>
    <w:p w14:paraId="713D819F" w14:textId="77777777" w:rsidR="004A2875" w:rsidRPr="000631F9" w:rsidRDefault="00655736" w:rsidP="004A2875">
      <w:pPr>
        <w:pStyle w:val="Paragraphedeliste"/>
        <w:keepLines/>
        <w:numPr>
          <w:ilvl w:val="0"/>
          <w:numId w:val="13"/>
        </w:numPr>
        <w:spacing w:after="240"/>
        <w:ind w:left="567" w:hanging="567"/>
        <w:contextualSpacing w:val="0"/>
        <w:rPr>
          <w:rFonts w:ascii="Arial" w:hAnsi="Arial" w:cs="Arial"/>
          <w:b/>
          <w:snapToGrid w:val="0"/>
          <w:sz w:val="22"/>
          <w:szCs w:val="22"/>
        </w:rPr>
      </w:pPr>
      <w:r>
        <w:br w:type="page"/>
      </w:r>
    </w:p>
    <w:p w14:paraId="6C62585F" w14:textId="6FE6EFCA" w:rsidR="00F70CC5" w:rsidRPr="000631F9" w:rsidRDefault="002247F2" w:rsidP="00F70CC5">
      <w:pPr>
        <w:pStyle w:val="COMPara"/>
        <w:numPr>
          <w:ilvl w:val="0"/>
          <w:numId w:val="0"/>
        </w:numPr>
        <w:spacing w:before="240"/>
        <w:jc w:val="both"/>
        <w:rPr>
          <w:b/>
          <w:bCs/>
        </w:rPr>
      </w:pPr>
      <w:bookmarkStart w:id="0" w:name="_Hlk124351255"/>
      <w:r>
        <w:rPr>
          <w:b/>
        </w:rPr>
        <w:lastRenderedPageBreak/>
        <w:t>Introducción</w:t>
      </w:r>
    </w:p>
    <w:bookmarkEnd w:id="0"/>
    <w:p w14:paraId="765782DB" w14:textId="4F384D25" w:rsidR="009B0335" w:rsidRPr="000631F9" w:rsidRDefault="00046A7A" w:rsidP="00C11E9A">
      <w:pPr>
        <w:pStyle w:val="COMPara"/>
        <w:ind w:left="567" w:hanging="567"/>
        <w:jc w:val="both"/>
      </w:pPr>
      <w:r>
        <w:t>Se solicita a la presente reunión de la Asamblea General que apruebe dos conjuntos de enmiendas a las Directrices Operativas de la Convención con el fin de dar seguimiento a los resultados de la reflexión global sobre los mecanismos de inscripción en las listas de la Convención</w:t>
      </w:r>
      <w:r w:rsidR="00DA2EF5" w:rsidRPr="000631F9">
        <w:rPr>
          <w:rStyle w:val="Appelnotedebasdep"/>
        </w:rPr>
        <w:footnoteReference w:id="1"/>
      </w:r>
      <w:r>
        <w:t>, que se inició en la decimotercera reunión del Comité en 2018 y se concluyó en la novena reunión de la Asamblea General en julio de 2022.</w:t>
      </w:r>
    </w:p>
    <w:p w14:paraId="43B4885B" w14:textId="07A5EA39" w:rsidR="00DA2EF5" w:rsidRPr="000631F9" w:rsidRDefault="00DA2EF5" w:rsidP="00DA2EF5">
      <w:pPr>
        <w:pStyle w:val="COMPara"/>
        <w:ind w:left="567" w:hanging="567"/>
        <w:jc w:val="both"/>
      </w:pPr>
      <w:r>
        <w:t xml:space="preserve">Aprobado por la decimoctava reunión del Comité en diciembre de 2023 (documento </w:t>
      </w:r>
      <w:hyperlink r:id="rId8" w:history="1">
        <w:r>
          <w:rPr>
            <w:rStyle w:val="Lienhypertexte"/>
          </w:rPr>
          <w:t>LHE/23/18.COM/11</w:t>
        </w:r>
      </w:hyperlink>
      <w:r>
        <w:t xml:space="preserve"> y Decisión </w:t>
      </w:r>
      <w:hyperlink r:id="rId9" w:history="1">
        <w:r>
          <w:rPr>
            <w:rStyle w:val="Lienhypertexte"/>
          </w:rPr>
          <w:t>18.COM 11</w:t>
        </w:r>
      </w:hyperlink>
      <w:r>
        <w:t>), el proyecto de enmiendas tiene por objeto mejorar los dos aspectos siguientes de los mecanismos de cooperación internacional de la Convención:</w:t>
      </w:r>
    </w:p>
    <w:p w14:paraId="7FDFF082" w14:textId="5F8C6DFA" w:rsidR="00DA2EF5" w:rsidRPr="000631F9" w:rsidRDefault="00DA2EF5" w:rsidP="00DA2EF5">
      <w:pPr>
        <w:pStyle w:val="COMPara"/>
        <w:numPr>
          <w:ilvl w:val="0"/>
          <w:numId w:val="36"/>
        </w:numPr>
        <w:jc w:val="both"/>
      </w:pPr>
      <w:r>
        <w:t xml:space="preserve">Simplificación de los criterios de selección </w:t>
      </w:r>
      <w:r w:rsidRPr="00F864C1">
        <w:t>de programas, proyectos y actividades que reflejan de modo más adecuado los principios y objetivos</w:t>
      </w:r>
      <w:r>
        <w:t xml:space="preserve"> de la Convención, en particular en lo que se refiere al Registro de Buenas Prácticas de Salvaguardia (parte</w:t>
      </w:r>
      <w:r w:rsidR="00EB42F8">
        <w:t> </w:t>
      </w:r>
      <w:r>
        <w:t>A)</w:t>
      </w:r>
    </w:p>
    <w:p w14:paraId="4D1AA92E" w14:textId="4DF3407F" w:rsidR="00DA2EF5" w:rsidRPr="000631F9" w:rsidRDefault="008E5CA9" w:rsidP="00DA2EF5">
      <w:pPr>
        <w:pStyle w:val="COMPara"/>
        <w:numPr>
          <w:ilvl w:val="0"/>
          <w:numId w:val="36"/>
        </w:numPr>
        <w:jc w:val="both"/>
      </w:pPr>
      <w:r>
        <w:t>Ampliación del acceso a la asistencia preparatoria en el marco de la cartera de asistencia internacional del Fondo para la Salvaguardia del Patrimonio Cultural Inmaterial (parte B)</w:t>
      </w:r>
    </w:p>
    <w:p w14:paraId="1D9C28E1" w14:textId="3229D456" w:rsidR="00063D10" w:rsidRPr="000631F9" w:rsidRDefault="003E5457" w:rsidP="00063D10">
      <w:pPr>
        <w:pStyle w:val="COMPara"/>
        <w:numPr>
          <w:ilvl w:val="0"/>
          <w:numId w:val="21"/>
        </w:numPr>
        <w:spacing w:before="240"/>
        <w:ind w:left="567" w:hanging="567"/>
        <w:jc w:val="both"/>
        <w:rPr>
          <w:b/>
          <w:bCs/>
        </w:rPr>
      </w:pPr>
      <w:r>
        <w:rPr>
          <w:b/>
        </w:rPr>
        <w:t>Registro de Buenas Prácticas de Salvaguardia</w:t>
      </w:r>
    </w:p>
    <w:p w14:paraId="26F1A58B" w14:textId="2963EA69" w:rsidR="0010351D" w:rsidRPr="000631F9" w:rsidRDefault="001A409F" w:rsidP="00734E47">
      <w:pPr>
        <w:pStyle w:val="COMPara"/>
        <w:spacing w:before="120"/>
        <w:ind w:left="567" w:hanging="567"/>
        <w:jc w:val="both"/>
      </w:pPr>
      <w:r>
        <w:t>Con solo 37 buenas prácticas seleccionadas (lo que representa el 5 % de los 730 elementos y prácticas incluidos actualmente en el sistema de listas en su conjunto), el Registro de Buenas Prácticas de Salvaguardia (en adelante, el “Registro”)</w:t>
      </w:r>
      <w:r w:rsidRPr="000631F9">
        <w:rPr>
          <w:vertAlign w:val="superscript"/>
        </w:rPr>
        <w:footnoteReference w:id="2"/>
      </w:r>
      <w:r>
        <w:t>, que se creó en 2009 con referencia al Artículo 18 de la Convención, se ha infrautilizado en comparación con los otros dos mecanismos de inscripción de la Convención (la Lista Representativa del Patrimonio Cultural Inmaterial de la Humanidad, en adelante la “Lista Representativa” y la Lista del Patrimonio Cultural Inmaterial</w:t>
      </w:r>
      <w:r w:rsidR="009B6E30">
        <w:t xml:space="preserve"> que requiere medidas urgentes de salvaguardia</w:t>
      </w:r>
      <w:r>
        <w:t>, en adelante la “Lista de Salvaguardia Urgente”).</w:t>
      </w:r>
    </w:p>
    <w:p w14:paraId="7F37A7B6" w14:textId="099FEA7A" w:rsidR="006704B3" w:rsidRPr="000631F9" w:rsidRDefault="006704B3" w:rsidP="00734E47">
      <w:pPr>
        <w:pStyle w:val="COMPara"/>
        <w:spacing w:before="120"/>
        <w:ind w:left="567" w:hanging="567"/>
        <w:jc w:val="both"/>
      </w:pPr>
      <w:r>
        <w:t xml:space="preserve">Los órganos rectores de la Convención ya han logrado una serie de mejoras para la puesta en funcionamiento del Registro a través de la reflexión global </w:t>
      </w:r>
      <w:bookmarkStart w:id="2" w:name="_Hlk162366913"/>
      <w:r>
        <w:t xml:space="preserve">(Decisión </w:t>
      </w:r>
      <w:hyperlink r:id="rId10" w:history="1">
        <w:r>
          <w:rPr>
            <w:rStyle w:val="Lienhypertexte"/>
          </w:rPr>
          <w:t>16.COM 14</w:t>
        </w:r>
      </w:hyperlink>
      <w:bookmarkEnd w:id="2"/>
      <w:r>
        <w:t xml:space="preserve"> y Resolución </w:t>
      </w:r>
      <w:hyperlink r:id="rId11" w:history="1">
        <w:r w:rsidRPr="008F0A8B">
          <w:rPr>
            <w:rStyle w:val="Lienhypertexte"/>
          </w:rPr>
          <w:t>9.GA 9</w:t>
        </w:r>
      </w:hyperlink>
      <w:r w:rsidRPr="008F0A8B">
        <w:t>),</w:t>
      </w:r>
      <w:r>
        <w:t xml:space="preserve"> que se refieren a: a) la supresión del criterio de selección P.9 (párrafo 7 de las Directrices Operativas)</w:t>
      </w:r>
      <w:r w:rsidRPr="000631F9">
        <w:rPr>
          <w:vertAlign w:val="superscript"/>
        </w:rPr>
        <w:footnoteReference w:id="3"/>
      </w:r>
      <w:r>
        <w:t xml:space="preserve"> y b) la posibilidad de que el Órgano de Evaluación recomiende la inclusión</w:t>
      </w:r>
      <w:r w:rsidR="007D3481">
        <w:t>, en el Registro,</w:t>
      </w:r>
      <w:r>
        <w:t xml:space="preserve"> de experiencias satisfactorias en materia de salvaguardia en el contexto de </w:t>
      </w:r>
      <w:r w:rsidRPr="000D16F7">
        <w:t>traspaso</w:t>
      </w:r>
      <w:r>
        <w:t xml:space="preserve"> de elementos de la Lista de Salvaguardia Urgente a la Lista Representativa (párrafo 39.3 de las Directrices Operativas).</w:t>
      </w:r>
    </w:p>
    <w:p w14:paraId="1A3A3ACF" w14:textId="16824693" w:rsidR="00D17348" w:rsidRPr="000631F9" w:rsidRDefault="00BB4607" w:rsidP="00734E47">
      <w:pPr>
        <w:pStyle w:val="COMPara"/>
        <w:spacing w:before="120"/>
        <w:ind w:left="567" w:hanging="567"/>
        <w:jc w:val="both"/>
      </w:pPr>
      <w:r>
        <w:t xml:space="preserve">Como seguimiento de la reflexión global sobre los mecanismos de inscripción en las listas de la Convención de 2003, la decimosexta reunión del Comité también decidió iniciar una reflexión independiente para analizar todo el potencial del Artículo 18 de la Convención (Decisión </w:t>
      </w:r>
      <w:hyperlink r:id="rId12" w:history="1">
        <w:r>
          <w:rPr>
            <w:rStyle w:val="Lienhypertexte"/>
          </w:rPr>
          <w:t>16.COM 14</w:t>
        </w:r>
      </w:hyperlink>
      <w:r>
        <w:t xml:space="preserve">). </w:t>
      </w:r>
      <w:r>
        <w:rPr>
          <w:rStyle w:val="hps"/>
          <w:rFonts w:asciiTheme="minorBidi" w:hAnsiTheme="minorBidi"/>
          <w:snapToGrid/>
        </w:rPr>
        <w:t>Esta nueva reflexión ha sido posible gracias a la generosa contribución del Reino de Suecia</w:t>
      </w:r>
      <w:r>
        <w:rPr>
          <w:rFonts w:asciiTheme="minorBidi" w:hAnsiTheme="minorBidi"/>
        </w:rPr>
        <w:t>.</w:t>
      </w:r>
      <w:r>
        <w:t xml:space="preserve"> </w:t>
      </w:r>
      <w:r>
        <w:rPr>
          <w:rFonts w:asciiTheme="minorBidi" w:hAnsiTheme="minorBidi"/>
        </w:rPr>
        <w:t>Las cuestiones relativas a la reflexión sobre el Artículo 18 se presentaron detalladamente al Comité en su decimoséptima reunión de 2022, que a su vez estableció los temas de reflexión y un calendario con los pasos intergubernamentales para la reflexión (documento </w:t>
      </w:r>
      <w:hyperlink r:id="rId13" w:history="1">
        <w:r>
          <w:rPr>
            <w:rStyle w:val="Lienhypertexte"/>
            <w:rFonts w:asciiTheme="minorBidi" w:hAnsiTheme="minorBidi"/>
          </w:rPr>
          <w:t>LHE/22/17.COM/10</w:t>
        </w:r>
      </w:hyperlink>
      <w:r>
        <w:rPr>
          <w:rStyle w:val="Lienhypertexte"/>
          <w:rFonts w:asciiTheme="minorBidi" w:hAnsiTheme="minorBidi"/>
        </w:rPr>
        <w:t xml:space="preserve"> </w:t>
      </w:r>
      <w:r>
        <w:rPr>
          <w:rFonts w:asciiTheme="minorBidi" w:hAnsiTheme="minorBidi"/>
        </w:rPr>
        <w:t xml:space="preserve">y </w:t>
      </w:r>
      <w:r>
        <w:rPr>
          <w:rStyle w:val="Lienhypertexte"/>
          <w:rFonts w:asciiTheme="minorBidi" w:hAnsiTheme="minorBidi"/>
        </w:rPr>
        <w:t xml:space="preserve">Decisión </w:t>
      </w:r>
      <w:hyperlink r:id="rId14" w:history="1">
        <w:r>
          <w:rPr>
            <w:rStyle w:val="Lienhypertexte"/>
            <w:rFonts w:asciiTheme="minorBidi" w:hAnsiTheme="minorBidi"/>
          </w:rPr>
          <w:t>17.COM 10</w:t>
        </w:r>
      </w:hyperlink>
      <w:r>
        <w:rPr>
          <w:rFonts w:asciiTheme="minorBidi" w:hAnsiTheme="minorBidi"/>
        </w:rPr>
        <w:t>).</w:t>
      </w:r>
    </w:p>
    <w:p w14:paraId="2C9CE41E" w14:textId="41D45A3B" w:rsidR="00276DE9" w:rsidRPr="000631F9" w:rsidRDefault="001A409F" w:rsidP="00734E47">
      <w:pPr>
        <w:pStyle w:val="COMPara"/>
        <w:spacing w:before="120"/>
        <w:ind w:left="567" w:hanging="567"/>
        <w:jc w:val="both"/>
      </w:pPr>
      <w:r>
        <w:rPr>
          <w:rFonts w:asciiTheme="minorBidi" w:hAnsiTheme="minorBidi"/>
        </w:rPr>
        <w:t xml:space="preserve">Uno de los principales temas de la nueva reflexión se refería a una mayor simplificación de los criterios de selección para el Registro, ya que no pudo tratarse en su totalidad durante la </w:t>
      </w:r>
      <w:r>
        <w:rPr>
          <w:rFonts w:asciiTheme="minorBidi" w:hAnsiTheme="minorBidi"/>
        </w:rPr>
        <w:lastRenderedPageBreak/>
        <w:t>reflexión global sobre los mecanismos de inscripción en las listas de la Convención</w:t>
      </w:r>
      <w:r>
        <w:t>. El objetivo de la simplificación sería contribuir a mejorar el acceso y aumentar la visibilidad del Registro de Buenas Prácticas de Salvaguardia. En consecuencia, se celebró una</w:t>
      </w:r>
      <w:r>
        <w:rPr>
          <w:rFonts w:asciiTheme="minorBidi" w:hAnsiTheme="minorBidi"/>
        </w:rPr>
        <w:t xml:space="preserve"> reunión de expertos de categoría VI del 19 al 21 de abril de 2023 (Estocolmo</w:t>
      </w:r>
      <w:r w:rsidR="000D16F7">
        <w:rPr>
          <w:rFonts w:asciiTheme="minorBidi" w:hAnsiTheme="minorBidi"/>
        </w:rPr>
        <w:t xml:space="preserve">, </w:t>
      </w:r>
      <w:r>
        <w:rPr>
          <w:rFonts w:asciiTheme="minorBidi" w:hAnsiTheme="minorBidi"/>
        </w:rPr>
        <w:t xml:space="preserve">Suecia). Durante esta reunión, 21 expertos debatieron y adoptaron un informe con recomendaciones que se presentó al grupo de trabajo intergubernamental de composición abierta (documento </w:t>
      </w:r>
      <w:hyperlink r:id="rId15" w:history="1">
        <w:r>
          <w:rPr>
            <w:rStyle w:val="Lienhypertexte"/>
            <w:rFonts w:asciiTheme="minorBidi" w:hAnsiTheme="minorBidi"/>
          </w:rPr>
          <w:t>LHE/23/18.COM EXP/4</w:t>
        </w:r>
      </w:hyperlink>
      <w:r>
        <w:rPr>
          <w:rFonts w:asciiTheme="minorBidi" w:hAnsiTheme="minorBidi"/>
        </w:rPr>
        <w:t>).</w:t>
      </w:r>
    </w:p>
    <w:p w14:paraId="3424ACE5" w14:textId="09BBFA89" w:rsidR="00276DE9" w:rsidRPr="000631F9" w:rsidRDefault="00276DE9" w:rsidP="00734E47">
      <w:pPr>
        <w:pStyle w:val="COMPara"/>
        <w:spacing w:before="120"/>
        <w:ind w:left="561" w:hanging="561"/>
        <w:jc w:val="both"/>
        <w:rPr>
          <w:rFonts w:asciiTheme="minorBidi" w:hAnsiTheme="minorBidi" w:cstheme="minorBidi"/>
        </w:rPr>
      </w:pPr>
      <w:r>
        <w:rPr>
          <w:rFonts w:asciiTheme="minorBidi" w:hAnsiTheme="minorBidi"/>
        </w:rPr>
        <w:t>El grupo de trabajo intergubernamental de composición abierta en el marco de la reflexión sobre una aplicación más amplia del Artículo 18 de la Convención se reunió en la Sede de la UNESCO los días 4 y 5 de julio de 2023</w:t>
      </w:r>
      <w:r w:rsidR="000D16F7">
        <w:rPr>
          <w:rFonts w:asciiTheme="minorBidi" w:hAnsiTheme="minorBidi"/>
        </w:rPr>
        <w:t>.</w:t>
      </w:r>
      <w:r w:rsidRPr="000631F9">
        <w:rPr>
          <w:rStyle w:val="Appelnotedebasdep"/>
          <w:rFonts w:asciiTheme="minorBidi" w:hAnsiTheme="minorBidi" w:cstheme="minorBidi"/>
        </w:rPr>
        <w:footnoteReference w:id="4"/>
      </w:r>
      <w:r>
        <w:rPr>
          <w:rFonts w:asciiTheme="minorBidi" w:hAnsiTheme="minorBidi"/>
        </w:rPr>
        <w:t xml:space="preserve"> El grupo de trabajo estuvo presidido por el Sr.</w:t>
      </w:r>
      <w:r w:rsidR="000D16F7">
        <w:rPr>
          <w:rFonts w:asciiTheme="minorBidi" w:hAnsiTheme="minorBidi"/>
        </w:rPr>
        <w:t> </w:t>
      </w:r>
      <w:r>
        <w:rPr>
          <w:rFonts w:asciiTheme="minorBidi" w:hAnsiTheme="minorBidi"/>
        </w:rPr>
        <w:t xml:space="preserve">Martin Sundin (Suecia), y los cinco siguientes </w:t>
      </w:r>
      <w:r w:rsidR="00D7351D">
        <w:rPr>
          <w:rFonts w:asciiTheme="minorBidi" w:hAnsiTheme="minorBidi"/>
        </w:rPr>
        <w:t xml:space="preserve">miembros </w:t>
      </w:r>
      <w:r>
        <w:rPr>
          <w:rFonts w:asciiTheme="minorBidi" w:hAnsiTheme="minorBidi"/>
        </w:rPr>
        <w:t xml:space="preserve">actuaron como Mesa del grupo de trabajo: Estonia, </w:t>
      </w:r>
      <w:r w:rsidR="00285749">
        <w:rPr>
          <w:rFonts w:asciiTheme="minorBidi" w:hAnsiTheme="minorBidi"/>
        </w:rPr>
        <w:t>Perú</w:t>
      </w:r>
      <w:r w:rsidR="00B86EDE">
        <w:rPr>
          <w:rFonts w:asciiTheme="minorBidi" w:hAnsiTheme="minorBidi"/>
        </w:rPr>
        <w:t xml:space="preserve">, </w:t>
      </w:r>
      <w:r>
        <w:rPr>
          <w:rFonts w:asciiTheme="minorBidi" w:hAnsiTheme="minorBidi"/>
        </w:rPr>
        <w:t xml:space="preserve">Filipinas, </w:t>
      </w:r>
      <w:r w:rsidR="00B86EDE">
        <w:rPr>
          <w:rFonts w:asciiTheme="minorBidi" w:hAnsiTheme="minorBidi"/>
        </w:rPr>
        <w:t xml:space="preserve">Angola y </w:t>
      </w:r>
      <w:r>
        <w:rPr>
          <w:rFonts w:asciiTheme="minorBidi" w:hAnsiTheme="minorBidi"/>
        </w:rPr>
        <w:t xml:space="preserve">Marruecos. Las recomendaciones del grupo de trabajo se presentaron en la decimoctava reunión del Comité en diciembre de 2023, tal y como figuran en el anexo I del </w:t>
      </w:r>
      <w:r>
        <w:t xml:space="preserve">documento </w:t>
      </w:r>
      <w:hyperlink r:id="rId16" w:history="1">
        <w:r>
          <w:rPr>
            <w:rStyle w:val="Lienhypertexte"/>
          </w:rPr>
          <w:t>LHE/23/18.COM/11</w:t>
        </w:r>
      </w:hyperlink>
      <w:r>
        <w:rPr>
          <w:rFonts w:asciiTheme="minorBidi" w:hAnsiTheme="minorBidi"/>
        </w:rPr>
        <w:t>.</w:t>
      </w:r>
    </w:p>
    <w:p w14:paraId="598B8939" w14:textId="28975E86" w:rsidR="00240043" w:rsidRPr="000631F9" w:rsidRDefault="00240043" w:rsidP="00240043">
      <w:pPr>
        <w:pStyle w:val="COMPara"/>
        <w:ind w:left="567" w:hanging="567"/>
        <w:jc w:val="both"/>
      </w:pPr>
      <w:r>
        <w:t>Sobre la base de la recomendación 3 del grupo de trabajo, la decimoctava reunión del Comité estudió la modificación del párrafo 7 de las Directrices Operativas con el fin de ajustar los criterios de selección para el Registro, tal y como se resume a continuación:</w:t>
      </w:r>
    </w:p>
    <w:p w14:paraId="7891DDB8" w14:textId="77777777" w:rsidR="00940217" w:rsidRPr="000631F9" w:rsidRDefault="00940217" w:rsidP="00940217">
      <w:pPr>
        <w:pStyle w:val="COMPara"/>
        <w:numPr>
          <w:ilvl w:val="1"/>
          <w:numId w:val="9"/>
        </w:numPr>
        <w:jc w:val="both"/>
      </w:pPr>
      <w:r>
        <w:t xml:space="preserve">Cambios en el “encabezamiento” del párrafo 7, entendiéndose que las propuestas de selección para el Registro deben satisfacer </w:t>
      </w:r>
      <w:r>
        <w:rPr>
          <w:u w:val="single"/>
        </w:rPr>
        <w:t>todos</w:t>
      </w:r>
      <w:r>
        <w:t xml:space="preserve"> los criterios de selección;</w:t>
      </w:r>
    </w:p>
    <w:p w14:paraId="591C23ED" w14:textId="2A839F26" w:rsidR="00240043" w:rsidRPr="000631F9" w:rsidRDefault="00240043" w:rsidP="004A55F2">
      <w:pPr>
        <w:pStyle w:val="COMPara"/>
        <w:numPr>
          <w:ilvl w:val="1"/>
          <w:numId w:val="9"/>
        </w:numPr>
        <w:jc w:val="both"/>
      </w:pPr>
      <w:r>
        <w:t>Simplificación de los criterios de selección, lo que implica la supresión de los criterios P.2 y P.8, así como la fusión de los criterios P.1/P.3 y P.6/P.7;</w:t>
      </w:r>
    </w:p>
    <w:p w14:paraId="04708200" w14:textId="0B87073F" w:rsidR="00240043" w:rsidRPr="000631F9" w:rsidRDefault="00240043" w:rsidP="004A55F2">
      <w:pPr>
        <w:pStyle w:val="COMPara"/>
        <w:numPr>
          <w:ilvl w:val="1"/>
          <w:numId w:val="9"/>
        </w:numPr>
        <w:jc w:val="both"/>
      </w:pPr>
      <w:r>
        <w:t xml:space="preserve">Cambio de nombre de los criterios </w:t>
      </w:r>
      <w:r w:rsidR="00C5652F">
        <w:t xml:space="preserve">hacia </w:t>
      </w:r>
      <w:r>
        <w:t>G.1, G.2, G.3, etc. (en lugar de P.1, P.2, P.3, etc.) para distinguir este nuevo conjunto de criterios de selección del sistema anterior.</w:t>
      </w:r>
    </w:p>
    <w:p w14:paraId="246EC49C" w14:textId="5A28FBC3" w:rsidR="007A78BD" w:rsidRPr="000631F9" w:rsidRDefault="007A78BD" w:rsidP="007A78BD">
      <w:pPr>
        <w:pStyle w:val="COMPara"/>
        <w:keepNext/>
        <w:ind w:left="567" w:hanging="567"/>
        <w:jc w:val="both"/>
      </w:pPr>
      <w:r>
        <w:t xml:space="preserve">Estos ajustes tuvieron en cuenta las siguientes consideraciones, tal como se expusieron a través de la consulta de expertos antes mencionada </w:t>
      </w:r>
      <w:r>
        <w:rPr>
          <w:rFonts w:asciiTheme="minorBidi" w:hAnsiTheme="minorBidi"/>
        </w:rPr>
        <w:t xml:space="preserve">(documento </w:t>
      </w:r>
      <w:hyperlink r:id="rId17" w:history="1">
        <w:r>
          <w:rPr>
            <w:rStyle w:val="Lienhypertexte"/>
            <w:rFonts w:asciiTheme="minorBidi" w:hAnsiTheme="minorBidi"/>
          </w:rPr>
          <w:t>LHE/23/18.COM EXP/4</w:t>
        </w:r>
      </w:hyperlink>
      <w:r>
        <w:rPr>
          <w:rFonts w:asciiTheme="minorBidi" w:hAnsiTheme="minorBidi"/>
        </w:rPr>
        <w:t>)</w:t>
      </w:r>
      <w:r>
        <w:t>:</w:t>
      </w:r>
    </w:p>
    <w:p w14:paraId="487950C4" w14:textId="1C31FBBE" w:rsidR="007A78BD" w:rsidRPr="000631F9" w:rsidRDefault="007A78BD" w:rsidP="009472DE">
      <w:pPr>
        <w:pStyle w:val="COMPara"/>
        <w:numPr>
          <w:ilvl w:val="0"/>
          <w:numId w:val="41"/>
        </w:numPr>
        <w:ind w:left="1418" w:hanging="284"/>
        <w:jc w:val="both"/>
      </w:pPr>
      <w:r>
        <w:t xml:space="preserve">Los criterios </w:t>
      </w:r>
      <w:r w:rsidR="00AA7347">
        <w:t>deberían</w:t>
      </w:r>
      <w:r>
        <w:t xml:space="preserve"> centrarse en la descripción del programa, el proyecto o la actividad en el sentido del artículo 2.3 de la Convención,</w:t>
      </w:r>
      <w:r w:rsidR="0019673B">
        <w:t xml:space="preserve"> en</w:t>
      </w:r>
      <w:r>
        <w:t xml:space="preserve"> las referencias a las medidas de salvaguardia en las Directrices Operativas, </w:t>
      </w:r>
      <w:r w:rsidR="0019673B">
        <w:t xml:space="preserve">en </w:t>
      </w:r>
      <w:r>
        <w:t xml:space="preserve">los principios y objetivos de la Convención y </w:t>
      </w:r>
      <w:r w:rsidR="0019673B">
        <w:t xml:space="preserve">en </w:t>
      </w:r>
      <w:r>
        <w:t xml:space="preserve">los Principios Éticos para la Salvaguardia del Patrimonio Cultural Inmaterial (criterios P.1 y P.3, que </w:t>
      </w:r>
      <w:r w:rsidR="0019673B">
        <w:t xml:space="preserve">podrían </w:t>
      </w:r>
      <w:r>
        <w:t>fusionarse).</w:t>
      </w:r>
    </w:p>
    <w:p w14:paraId="711C3C9A" w14:textId="656640F2" w:rsidR="007A78BD" w:rsidRPr="000631F9" w:rsidRDefault="007A78BD" w:rsidP="009472DE">
      <w:pPr>
        <w:pStyle w:val="COMPara"/>
        <w:numPr>
          <w:ilvl w:val="0"/>
          <w:numId w:val="41"/>
        </w:numPr>
        <w:ind w:left="1418" w:hanging="284"/>
        <w:jc w:val="both"/>
      </w:pPr>
      <w:r>
        <w:t xml:space="preserve">La participación de las comunidades </w:t>
      </w:r>
      <w:r w:rsidR="0019673B">
        <w:t xml:space="preserve">concernidas </w:t>
      </w:r>
      <w:r w:rsidR="00AA7347">
        <w:t>debería</w:t>
      </w:r>
      <w:r>
        <w:t xml:space="preserve"> ser un requisito importante (criterios P.5 y en parte P.7, con la inclusión del Principio Ético 4).</w:t>
      </w:r>
    </w:p>
    <w:p w14:paraId="634DD222" w14:textId="1ED66459" w:rsidR="007A78BD" w:rsidRPr="000631F9" w:rsidRDefault="008725A6" w:rsidP="009472DE">
      <w:pPr>
        <w:pStyle w:val="COMPara"/>
        <w:numPr>
          <w:ilvl w:val="0"/>
          <w:numId w:val="41"/>
        </w:numPr>
        <w:ind w:left="1418" w:hanging="284"/>
        <w:jc w:val="both"/>
      </w:pPr>
      <w:r>
        <w:t xml:space="preserve">Es necesaria una demostración de la eficacia del programa, el proyecto o la actividad, pero esto </w:t>
      </w:r>
      <w:r w:rsidR="00AA7347">
        <w:t xml:space="preserve">podría </w:t>
      </w:r>
      <w:r>
        <w:t>hacer que resulte redundante el requisito de llevar a cabo una evaluación de los resultados (por tanto, podría mantenerse el criterio P.4 y suprimirse el criterio P.8).</w:t>
      </w:r>
    </w:p>
    <w:p w14:paraId="3B835BA9" w14:textId="21D47B68" w:rsidR="007A78BD" w:rsidRPr="000631F9" w:rsidRDefault="007A78BD" w:rsidP="009472DE">
      <w:pPr>
        <w:pStyle w:val="COMPara"/>
        <w:numPr>
          <w:ilvl w:val="0"/>
          <w:numId w:val="41"/>
        </w:numPr>
        <w:ind w:left="1418" w:hanging="284"/>
        <w:jc w:val="both"/>
      </w:pPr>
      <w:r>
        <w:t xml:space="preserve">Se </w:t>
      </w:r>
      <w:r w:rsidR="0019673B">
        <w:t xml:space="preserve">podría </w:t>
      </w:r>
      <w:r>
        <w:t>ajustar el criterio P.7 para utilizar los términos “buenas prácticas” en lugar de “mejores prácticas”.</w:t>
      </w:r>
    </w:p>
    <w:p w14:paraId="39603F28" w14:textId="04F988BD" w:rsidR="007A78BD" w:rsidRPr="000631F9" w:rsidRDefault="007A78BD" w:rsidP="009472DE">
      <w:pPr>
        <w:pStyle w:val="COMPara"/>
        <w:numPr>
          <w:ilvl w:val="0"/>
          <w:numId w:val="41"/>
        </w:numPr>
        <w:ind w:left="1418" w:hanging="284"/>
        <w:jc w:val="both"/>
      </w:pPr>
      <w:r>
        <w:t xml:space="preserve">La referencia a la posibilidad de utilizar las buenas prácticas de salvaguardia como modelo (P.6) </w:t>
      </w:r>
      <w:r w:rsidR="0019673B">
        <w:t xml:space="preserve">podría </w:t>
      </w:r>
      <w:r>
        <w:t xml:space="preserve">incluirse en el criterio combinado P.1 y P.3, pero no </w:t>
      </w:r>
      <w:r w:rsidR="0019673B">
        <w:t>debería</w:t>
      </w:r>
      <w:r>
        <w:t xml:space="preserve"> limitarse al ámbito internacional, ya que algunos modelos pueden ser pertinentes a escala nacional.</w:t>
      </w:r>
    </w:p>
    <w:p w14:paraId="3C63B66D" w14:textId="2B560DB0" w:rsidR="007A78BD" w:rsidRPr="000631F9" w:rsidRDefault="007A78BD" w:rsidP="009472DE">
      <w:pPr>
        <w:pStyle w:val="COMPara"/>
        <w:numPr>
          <w:ilvl w:val="0"/>
          <w:numId w:val="41"/>
        </w:numPr>
        <w:ind w:left="1418" w:hanging="284"/>
        <w:jc w:val="both"/>
      </w:pPr>
      <w:r>
        <w:t xml:space="preserve">Algunas buenas prácticas de salvaguardia pueden limitarse a actividades locales, por lo que el criterio P.2 </w:t>
      </w:r>
      <w:r w:rsidR="0019673B">
        <w:t xml:space="preserve">podría </w:t>
      </w:r>
      <w:r>
        <w:t xml:space="preserve">limitar innecesariamente la diversidad del Registro y podría </w:t>
      </w:r>
      <w:r w:rsidR="0019673B">
        <w:t xml:space="preserve">ser </w:t>
      </w:r>
      <w:r>
        <w:t>suprimi</w:t>
      </w:r>
      <w:r w:rsidR="0019673B">
        <w:t>do</w:t>
      </w:r>
      <w:r>
        <w:t>.</w:t>
      </w:r>
    </w:p>
    <w:p w14:paraId="69BED676" w14:textId="008C6E8A" w:rsidR="00C46770" w:rsidRPr="000631F9" w:rsidRDefault="008222B5" w:rsidP="00D57F7C">
      <w:pPr>
        <w:pStyle w:val="COMPara"/>
        <w:spacing w:before="240"/>
        <w:ind w:left="567" w:hanging="567"/>
        <w:jc w:val="both"/>
      </w:pPr>
      <w:r>
        <w:lastRenderedPageBreak/>
        <w:t xml:space="preserve">De conformidad con la Decisión </w:t>
      </w:r>
      <w:hyperlink r:id="rId18" w:history="1">
        <w:r>
          <w:rPr>
            <w:rStyle w:val="Lienhypertexte"/>
          </w:rPr>
          <w:t>18.COM 11</w:t>
        </w:r>
      </w:hyperlink>
      <w:r>
        <w:t xml:space="preserve"> de la decimoctava reunión del Comité, por la presente se solicita a la Asamblea General que examine la propuesta de </w:t>
      </w:r>
      <w:r w:rsidR="005F15CD">
        <w:t>enmienda a</w:t>
      </w:r>
      <w:r>
        <w:t>l párrafo</w:t>
      </w:r>
      <w:r w:rsidR="00EB42F8">
        <w:t> </w:t>
      </w:r>
      <w:r>
        <w:t xml:space="preserve">7 de las Directrices Operativas incluida en </w:t>
      </w:r>
      <w:r w:rsidRPr="00D57F7C">
        <w:t xml:space="preserve">la </w:t>
      </w:r>
      <w:hyperlink w:anchor="_Criterios_de_selección" w:history="1">
        <w:r w:rsidR="00067631" w:rsidRPr="00067631">
          <w:rPr>
            <w:rStyle w:val="Lienhypertexte"/>
          </w:rPr>
          <w:t>parte</w:t>
        </w:r>
        <w:r w:rsidR="00D57F7C" w:rsidRPr="00067631">
          <w:rPr>
            <w:rStyle w:val="Lienhypertexte"/>
          </w:rPr>
          <w:t xml:space="preserve"> I</w:t>
        </w:r>
      </w:hyperlink>
      <w:r>
        <w:t xml:space="preserve"> del anexo del presente documento. </w:t>
      </w:r>
    </w:p>
    <w:p w14:paraId="31F3B4D2" w14:textId="5469DDB3" w:rsidR="008222B5" w:rsidRPr="000631F9" w:rsidRDefault="00240043" w:rsidP="00734E47">
      <w:pPr>
        <w:pStyle w:val="COMPara"/>
        <w:spacing w:before="120"/>
        <w:ind w:left="567" w:hanging="567"/>
        <w:jc w:val="both"/>
      </w:pPr>
      <w:r>
        <w:t xml:space="preserve">Una vez aprobada la </w:t>
      </w:r>
      <w:r w:rsidR="00944EF1">
        <w:t>enmienda</w:t>
      </w:r>
      <w:r>
        <w:t xml:space="preserve">, se ajustará el formulario ICH-03 para </w:t>
      </w:r>
      <w:r w:rsidR="00944EF1">
        <w:t xml:space="preserve">que </w:t>
      </w:r>
      <w:r>
        <w:t>reflej</w:t>
      </w:r>
      <w:r w:rsidR="00944EF1">
        <w:t>e</w:t>
      </w:r>
      <w:r>
        <w:t xml:space="preserve"> los criterios de selección revisados. Según la recomendación 3 del grupo de trabajo, el formulario revisado incluirá referencias a las disposiciones pertinentes de las Directrices Operativas y los Principios Éticos para la Salvaguardia del Patrimonio Cultural Inmaterial. El formulario ICH-03 ajustado estará disponible después de la presente reunión de la Asamblea General y a tiempo para </w:t>
      </w:r>
      <w:r w:rsidR="00AD0E4E">
        <w:t>la preparación de</w:t>
      </w:r>
      <w:r>
        <w:t xml:space="preserve"> propuestas del ciclo de 2026 de cara a su selección para el Registro de Buenas Prácticas de Salvaguardia, cuyo próximo plazo de presentación es el 31 de marzo de 2025 y anualmente a partir de entonces.</w:t>
      </w:r>
    </w:p>
    <w:p w14:paraId="123B6521" w14:textId="70D5F6FE" w:rsidR="00F70CC5" w:rsidRPr="000631F9" w:rsidRDefault="00046A7A" w:rsidP="00AC18C1">
      <w:pPr>
        <w:pStyle w:val="COMPara"/>
        <w:numPr>
          <w:ilvl w:val="0"/>
          <w:numId w:val="21"/>
        </w:numPr>
        <w:spacing w:before="240"/>
        <w:ind w:left="567" w:hanging="567"/>
        <w:jc w:val="both"/>
        <w:rPr>
          <w:b/>
          <w:bCs/>
        </w:rPr>
      </w:pPr>
      <w:bookmarkStart w:id="3" w:name="PartB"/>
      <w:r>
        <w:rPr>
          <w:b/>
        </w:rPr>
        <w:t>Asistencia internacional</w:t>
      </w:r>
    </w:p>
    <w:bookmarkEnd w:id="3"/>
    <w:p w14:paraId="6BDBEA04" w14:textId="2F291EA1" w:rsidR="00146E40" w:rsidRPr="000631F9" w:rsidRDefault="00146E40" w:rsidP="00146E40">
      <w:pPr>
        <w:pStyle w:val="COMPara"/>
        <w:ind w:left="567" w:hanging="567"/>
        <w:jc w:val="both"/>
      </w:pPr>
      <w:r>
        <w:t>Gracias a la reflexión global sobre los mecanismos de inscripción en las listas, se amplió el alcance de la asistencia preparatoria para incluir la asistencia en la preparación de “c) solicitudes de traspaso de un elemento de una lista a otra y d) candidaturas de ampliación o reducción de elementos ya i</w:t>
      </w:r>
      <w:r w:rsidRPr="00BF75FC">
        <w:t xml:space="preserve">nscritos” (Resolución </w:t>
      </w:r>
      <w:hyperlink r:id="rId19" w:history="1">
        <w:r w:rsidRPr="00BF75FC">
          <w:rPr>
            <w:rStyle w:val="Lienhypertexte"/>
          </w:rPr>
          <w:t>9.GA 9</w:t>
        </w:r>
      </w:hyperlink>
      <w:r w:rsidRPr="00BF75FC">
        <w:t>). Estas</w:t>
      </w:r>
      <w:r>
        <w:t xml:space="preserve"> adiciones complementaron la asistencia preparatoria que ya se había prestado para respaldar la preparación de a) expedientes de candidatura a la Lista de Salvaguardia Urgente y b) propuestas de programas, proyectos y actividades para su selección en el Registro de Buenas Prácticas de Salvaguardia (capítulo I.7 de las Directrices Operativas).</w:t>
      </w:r>
    </w:p>
    <w:p w14:paraId="07D5AFDE" w14:textId="151E6285" w:rsidR="006704B3" w:rsidRPr="000631F9" w:rsidRDefault="00146E40" w:rsidP="006704B3">
      <w:pPr>
        <w:pStyle w:val="COMPara"/>
        <w:ind w:left="567" w:hanging="567"/>
        <w:jc w:val="both"/>
      </w:pPr>
      <w:r>
        <w:t>La decimoséptima reunión del Comité estudió ampliar de nuevo el alcance de la asistencia preparatoria y pidió a la Secretaría que “elabore una propuesta a las Directrices Operativas para que los Estados Miembros que no hayan inscrito anteriormente elementos en la Lista Representativa del Patrimonio Cultural Inmaterial de la Humanidad puedan solicitar asistencia internacional para preparar su primera candidatura a dicha Lista”</w:t>
      </w:r>
      <w:r>
        <w:rPr>
          <w:rFonts w:ascii="Times New Roman" w:hAnsi="Times New Roman"/>
          <w:snapToGrid/>
          <w:sz w:val="24"/>
        </w:rPr>
        <w:t xml:space="preserve"> </w:t>
      </w:r>
      <w:r>
        <w:rPr>
          <w:snapToGrid/>
        </w:rPr>
        <w:t>(Decisión</w:t>
      </w:r>
      <w:r>
        <w:t xml:space="preserve"> </w:t>
      </w:r>
      <w:hyperlink r:id="rId20" w:history="1">
        <w:r>
          <w:rPr>
            <w:rStyle w:val="Lienhypertexte"/>
          </w:rPr>
          <w:t>17.COM 7</w:t>
        </w:r>
      </w:hyperlink>
      <w:r>
        <w:t>). Esta propuesta se hizo con referencia al Artículo 20 d) de la Convención, que prevé que la asistencia internacional puede otorgarse para “cualquier otro objetivo que el Comité juzgue oportuno”. También está en consonancia con el espíritu de la Convención, que pretende garantizar una representación geográfica equitativa en todos los aspectos de su aplicación, especialmente en lo que respecta a los mecanismos de inscripción en las listas.</w:t>
      </w:r>
    </w:p>
    <w:p w14:paraId="1F7B9780" w14:textId="55C25301" w:rsidR="00063D10" w:rsidRPr="000631F9" w:rsidRDefault="00146E40" w:rsidP="00E75091">
      <w:pPr>
        <w:pStyle w:val="COMPara"/>
        <w:spacing w:before="240"/>
        <w:ind w:left="567" w:hanging="567"/>
        <w:jc w:val="both"/>
      </w:pPr>
      <w:r>
        <w:t xml:space="preserve">Se entiende que la asistencia preparatoria estaría abierta a los Estados que no cuenten con ningún elemento nacional inscrito en la Lista Representativa, independientemente de que tengan o no elementos multinacionales </w:t>
      </w:r>
      <w:r w:rsidRPr="00D57F7C">
        <w:t xml:space="preserve">ya inscritos. Según la práctica de la Convención, </w:t>
      </w:r>
      <w:r w:rsidR="006969E3" w:rsidRPr="00D57F7C">
        <w:t xml:space="preserve">la </w:t>
      </w:r>
      <w:r w:rsidRPr="00D57F7C">
        <w:t xml:space="preserve">prioridad </w:t>
      </w:r>
      <w:r w:rsidR="006969E3" w:rsidRPr="00D57F7C">
        <w:t xml:space="preserve">podría ser dada </w:t>
      </w:r>
      <w:r w:rsidRPr="00D57F7C">
        <w:t xml:space="preserve">a los Estados que reciben </w:t>
      </w:r>
      <w:r w:rsidR="00D57F7C" w:rsidRPr="0061635A">
        <w:t>A</w:t>
      </w:r>
      <w:r w:rsidRPr="00D57F7C">
        <w:t xml:space="preserve">sistencia </w:t>
      </w:r>
      <w:r w:rsidR="00D57F7C" w:rsidRPr="0061635A">
        <w:t>O</w:t>
      </w:r>
      <w:r w:rsidRPr="00D57F7C">
        <w:t xml:space="preserve">ficial para el </w:t>
      </w:r>
      <w:r w:rsidR="00D57F7C" w:rsidRPr="0061635A">
        <w:t>D</w:t>
      </w:r>
      <w:r w:rsidRPr="00D57F7C">
        <w:t>esarrollo. Al mismo tiempo, las solicitude</w:t>
      </w:r>
      <w:r>
        <w:t xml:space="preserve">s de los </w:t>
      </w:r>
      <w:proofErr w:type="gramStart"/>
      <w:r>
        <w:t>Estados Partes</w:t>
      </w:r>
      <w:proofErr w:type="gramEnd"/>
      <w:r>
        <w:t xml:space="preserve"> del grupo electoral I (tres Estados sin ningún elemento nacional inscrito) no se tratarían de forma prioritaria. </w:t>
      </w:r>
      <w:r w:rsidR="00D57F7C">
        <w:t xml:space="preserve">En </w:t>
      </w:r>
      <w:r>
        <w:t xml:space="preserve">el </w:t>
      </w:r>
      <w:r w:rsidRPr="00D57F7C">
        <w:t>estado</w:t>
      </w:r>
      <w:r>
        <w:t xml:space="preserve"> actual de inscripci</w:t>
      </w:r>
      <w:r w:rsidR="007941AA">
        <w:t>ones</w:t>
      </w:r>
      <w:r>
        <w:t>, un total de 47 Estados podrían beneficiarse de la asistencia preparatoria, con el siguiente desglose geográfico:</w:t>
      </w:r>
    </w:p>
    <w:tbl>
      <w:tblPr>
        <w:tblStyle w:val="Grilledutableau"/>
        <w:tblW w:w="0" w:type="auto"/>
        <w:tblInd w:w="567" w:type="dxa"/>
        <w:tblLook w:val="04A0" w:firstRow="1" w:lastRow="0" w:firstColumn="1" w:lastColumn="0" w:noHBand="0" w:noVBand="1"/>
      </w:tblPr>
      <w:tblGrid>
        <w:gridCol w:w="1511"/>
        <w:gridCol w:w="1510"/>
        <w:gridCol w:w="1510"/>
        <w:gridCol w:w="1510"/>
        <w:gridCol w:w="1510"/>
        <w:gridCol w:w="1510"/>
      </w:tblGrid>
      <w:tr w:rsidR="00D974AC" w:rsidRPr="000631F9" w14:paraId="64561F8E" w14:textId="77777777" w:rsidTr="00772CF0">
        <w:tc>
          <w:tcPr>
            <w:tcW w:w="1511" w:type="dxa"/>
            <w:shd w:val="clear" w:color="auto" w:fill="F2F2F2" w:themeFill="background1" w:themeFillShade="F2"/>
          </w:tcPr>
          <w:p w14:paraId="3D290DF3"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GE I</w:t>
            </w:r>
          </w:p>
        </w:tc>
        <w:tc>
          <w:tcPr>
            <w:tcW w:w="1510" w:type="dxa"/>
            <w:shd w:val="clear" w:color="auto" w:fill="F2F2F2" w:themeFill="background1" w:themeFillShade="F2"/>
          </w:tcPr>
          <w:p w14:paraId="6B08F180"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GE II</w:t>
            </w:r>
          </w:p>
        </w:tc>
        <w:tc>
          <w:tcPr>
            <w:tcW w:w="1510" w:type="dxa"/>
            <w:shd w:val="clear" w:color="auto" w:fill="F2F2F2" w:themeFill="background1" w:themeFillShade="F2"/>
          </w:tcPr>
          <w:p w14:paraId="5125AD9D"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GE III</w:t>
            </w:r>
          </w:p>
        </w:tc>
        <w:tc>
          <w:tcPr>
            <w:tcW w:w="1510" w:type="dxa"/>
            <w:shd w:val="clear" w:color="auto" w:fill="F2F2F2" w:themeFill="background1" w:themeFillShade="F2"/>
          </w:tcPr>
          <w:p w14:paraId="2D825274"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GE IV</w:t>
            </w:r>
          </w:p>
        </w:tc>
        <w:tc>
          <w:tcPr>
            <w:tcW w:w="1510" w:type="dxa"/>
            <w:shd w:val="clear" w:color="auto" w:fill="F2F2F2" w:themeFill="background1" w:themeFillShade="F2"/>
          </w:tcPr>
          <w:p w14:paraId="7BA1EDA0" w14:textId="13B6648B" w:rsidR="00D974AC" w:rsidRPr="000631F9" w:rsidRDefault="00D974AC" w:rsidP="00772CF0">
            <w:pPr>
              <w:jc w:val="both"/>
              <w:rPr>
                <w:rFonts w:ascii="Arial" w:hAnsi="Arial" w:cs="Arial"/>
                <w:snapToGrid w:val="0"/>
                <w:sz w:val="22"/>
                <w:szCs w:val="22"/>
              </w:rPr>
            </w:pPr>
            <w:r>
              <w:rPr>
                <w:rFonts w:ascii="Arial" w:hAnsi="Arial"/>
                <w:snapToGrid w:val="0"/>
                <w:sz w:val="22"/>
              </w:rPr>
              <w:t xml:space="preserve">GE V </w:t>
            </w:r>
            <w:r w:rsidR="007941AA">
              <w:rPr>
                <w:rFonts w:ascii="Arial" w:hAnsi="Arial"/>
                <w:snapToGrid w:val="0"/>
                <w:sz w:val="22"/>
              </w:rPr>
              <w:t>(</w:t>
            </w:r>
            <w:r>
              <w:rPr>
                <w:rFonts w:ascii="Arial" w:hAnsi="Arial"/>
                <w:snapToGrid w:val="0"/>
                <w:sz w:val="22"/>
              </w:rPr>
              <w:t>a)</w:t>
            </w:r>
          </w:p>
        </w:tc>
        <w:tc>
          <w:tcPr>
            <w:tcW w:w="1510" w:type="dxa"/>
            <w:shd w:val="clear" w:color="auto" w:fill="F2F2F2" w:themeFill="background1" w:themeFillShade="F2"/>
          </w:tcPr>
          <w:p w14:paraId="0E2609E4" w14:textId="203AE0E7" w:rsidR="00D974AC" w:rsidRPr="000631F9" w:rsidRDefault="00D974AC" w:rsidP="00772CF0">
            <w:pPr>
              <w:jc w:val="both"/>
              <w:rPr>
                <w:rFonts w:ascii="Arial" w:hAnsi="Arial" w:cs="Arial"/>
                <w:snapToGrid w:val="0"/>
                <w:sz w:val="22"/>
                <w:szCs w:val="22"/>
              </w:rPr>
            </w:pPr>
            <w:r>
              <w:rPr>
                <w:rFonts w:ascii="Arial" w:hAnsi="Arial"/>
                <w:snapToGrid w:val="0"/>
                <w:sz w:val="22"/>
              </w:rPr>
              <w:t xml:space="preserve">GE V </w:t>
            </w:r>
            <w:r w:rsidR="007941AA">
              <w:rPr>
                <w:rFonts w:ascii="Arial" w:hAnsi="Arial"/>
                <w:snapToGrid w:val="0"/>
                <w:sz w:val="22"/>
              </w:rPr>
              <w:t>(</w:t>
            </w:r>
            <w:r>
              <w:rPr>
                <w:rFonts w:ascii="Arial" w:hAnsi="Arial"/>
                <w:snapToGrid w:val="0"/>
                <w:sz w:val="22"/>
              </w:rPr>
              <w:t>b)</w:t>
            </w:r>
          </w:p>
        </w:tc>
      </w:tr>
      <w:tr w:rsidR="00D974AC" w:rsidRPr="000631F9" w14:paraId="25D65EA7" w14:textId="77777777" w:rsidTr="00772CF0">
        <w:tc>
          <w:tcPr>
            <w:tcW w:w="1511" w:type="dxa"/>
          </w:tcPr>
          <w:p w14:paraId="57057F79" w14:textId="7492F790" w:rsidR="00D974AC" w:rsidRPr="000631F9" w:rsidRDefault="008451D0" w:rsidP="00772CF0">
            <w:pPr>
              <w:jc w:val="both"/>
              <w:rPr>
                <w:rFonts w:ascii="Arial" w:hAnsi="Arial" w:cs="Arial"/>
                <w:snapToGrid w:val="0"/>
                <w:sz w:val="22"/>
                <w:szCs w:val="22"/>
              </w:rPr>
            </w:pPr>
            <w:r>
              <w:rPr>
                <w:rFonts w:ascii="Arial" w:hAnsi="Arial"/>
                <w:snapToGrid w:val="0"/>
                <w:sz w:val="22"/>
              </w:rPr>
              <w:t>3</w:t>
            </w:r>
            <w:r w:rsidR="00D20D37" w:rsidRPr="000631F9">
              <w:rPr>
                <w:rStyle w:val="Appelnotedebasdep"/>
                <w:rFonts w:ascii="Arial" w:hAnsi="Arial" w:cs="Arial"/>
                <w:snapToGrid w:val="0"/>
                <w:sz w:val="22"/>
                <w:szCs w:val="22"/>
                <w:lang w:val="en-GB" w:eastAsia="en-US"/>
              </w:rPr>
              <w:footnoteReference w:id="5"/>
            </w:r>
          </w:p>
        </w:tc>
        <w:tc>
          <w:tcPr>
            <w:tcW w:w="1510" w:type="dxa"/>
          </w:tcPr>
          <w:p w14:paraId="08F82C96"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0</w:t>
            </w:r>
          </w:p>
        </w:tc>
        <w:tc>
          <w:tcPr>
            <w:tcW w:w="1510" w:type="dxa"/>
          </w:tcPr>
          <w:p w14:paraId="33D331FC"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12</w:t>
            </w:r>
          </w:p>
        </w:tc>
        <w:tc>
          <w:tcPr>
            <w:tcW w:w="1510" w:type="dxa"/>
          </w:tcPr>
          <w:p w14:paraId="483172ED"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15</w:t>
            </w:r>
          </w:p>
        </w:tc>
        <w:tc>
          <w:tcPr>
            <w:tcW w:w="1510" w:type="dxa"/>
          </w:tcPr>
          <w:p w14:paraId="2C12DAE5"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19</w:t>
            </w:r>
          </w:p>
        </w:tc>
        <w:tc>
          <w:tcPr>
            <w:tcW w:w="1510" w:type="dxa"/>
          </w:tcPr>
          <w:p w14:paraId="6A645323" w14:textId="77777777" w:rsidR="00D974AC" w:rsidRPr="000631F9" w:rsidRDefault="00D974AC" w:rsidP="00772CF0">
            <w:pPr>
              <w:jc w:val="both"/>
              <w:rPr>
                <w:rFonts w:ascii="Arial" w:hAnsi="Arial" w:cs="Arial"/>
                <w:snapToGrid w:val="0"/>
                <w:sz w:val="22"/>
                <w:szCs w:val="22"/>
              </w:rPr>
            </w:pPr>
            <w:r>
              <w:rPr>
                <w:rFonts w:ascii="Arial" w:hAnsi="Arial"/>
                <w:snapToGrid w:val="0"/>
                <w:sz w:val="22"/>
              </w:rPr>
              <w:t>1</w:t>
            </w:r>
          </w:p>
        </w:tc>
      </w:tr>
      <w:tr w:rsidR="00D974AC" w:rsidRPr="002E0E56" w14:paraId="2D0FF1FE" w14:textId="77777777" w:rsidTr="00772CF0">
        <w:tc>
          <w:tcPr>
            <w:tcW w:w="9061" w:type="dxa"/>
            <w:gridSpan w:val="6"/>
          </w:tcPr>
          <w:p w14:paraId="2BF9E697" w14:textId="21894DE6" w:rsidR="00D974AC" w:rsidRPr="000631F9" w:rsidRDefault="00D974AC" w:rsidP="00772CF0">
            <w:pPr>
              <w:jc w:val="both"/>
              <w:rPr>
                <w:rFonts w:ascii="Arial" w:hAnsi="Arial" w:cs="Arial"/>
                <w:snapToGrid w:val="0"/>
                <w:sz w:val="22"/>
                <w:szCs w:val="22"/>
              </w:rPr>
            </w:pPr>
            <w:r>
              <w:rPr>
                <w:rFonts w:ascii="Arial" w:hAnsi="Arial"/>
                <w:snapToGrid w:val="0"/>
                <w:sz w:val="22"/>
              </w:rPr>
              <w:t>Total: 47 Estados, excluido el GE I</w:t>
            </w:r>
          </w:p>
        </w:tc>
      </w:tr>
    </w:tbl>
    <w:p w14:paraId="190A24E1" w14:textId="57EECD75" w:rsidR="00063D10" w:rsidRPr="000631F9" w:rsidRDefault="00063D10" w:rsidP="00903F5C">
      <w:pPr>
        <w:pStyle w:val="COMPara"/>
        <w:spacing w:before="240"/>
        <w:ind w:left="567" w:hanging="567"/>
        <w:jc w:val="both"/>
      </w:pPr>
      <w:bookmarkStart w:id="4" w:name="_Hlk162358093"/>
      <w:r>
        <w:t xml:space="preserve">De conformidad con la Decisión </w:t>
      </w:r>
      <w:hyperlink r:id="rId21" w:history="1">
        <w:r>
          <w:rPr>
            <w:rStyle w:val="Lienhypertexte"/>
          </w:rPr>
          <w:t>18.COM 10</w:t>
        </w:r>
      </w:hyperlink>
      <w:r>
        <w:t xml:space="preserve">, por la presente se solicita a la Asamblea General que examine la propuesta de </w:t>
      </w:r>
      <w:r w:rsidR="005F15CD">
        <w:t>enmienda a</w:t>
      </w:r>
      <w:r>
        <w:t xml:space="preserve">l párrafo 21 de las Directrices Operativas </w:t>
      </w:r>
      <w:r w:rsidRPr="00067631">
        <w:t xml:space="preserve">incluida en la </w:t>
      </w:r>
      <w:hyperlink w:anchor="_Presentación_de_expedientes" w:history="1">
        <w:r w:rsidRPr="00067631">
          <w:rPr>
            <w:rStyle w:val="Lienhypertexte"/>
          </w:rPr>
          <w:t>parte II</w:t>
        </w:r>
      </w:hyperlink>
      <w:r>
        <w:t xml:space="preserve"> del anexo del presente documento. El plazo de presentación y el proceso de examen, descritos en el capítulo I.15 de las Directrices Operativas, se mantendrán sin cambios, al igual que el importe solicitado, que suele oscilar entre 5.000 y 10.000 dólares estadounidenses. Una vez aprobada la enmienda, se </w:t>
      </w:r>
      <w:r w:rsidR="004D09C0">
        <w:t xml:space="preserve">ajustará </w:t>
      </w:r>
      <w:r>
        <w:t xml:space="preserve">el formulario ICH-05, que </w:t>
      </w:r>
      <w:r w:rsidR="004D09C0">
        <w:t>estará</w:t>
      </w:r>
      <w:r>
        <w:t xml:space="preserve"> disponible después de la presente reunión de la Asamblea General, para que los </w:t>
      </w:r>
      <w:proofErr w:type="gramStart"/>
      <w:r>
        <w:t xml:space="preserve">Estados </w:t>
      </w:r>
      <w:r>
        <w:lastRenderedPageBreak/>
        <w:t>Partes</w:t>
      </w:r>
      <w:proofErr w:type="gramEnd"/>
      <w:r>
        <w:t xml:space="preserve"> que no cuenten con ningún elemento nacional inscrito en la Lista Representativa puedan solicitar asistencia preparatoria antes de la próxima fecha límite, el 31 de marzo de 2025, y a partir de entonces.</w:t>
      </w:r>
    </w:p>
    <w:bookmarkEnd w:id="4"/>
    <w:p w14:paraId="50D3EAFF" w14:textId="3A349EC1" w:rsidR="00D95C4C" w:rsidRPr="000631F9" w:rsidRDefault="005C792B" w:rsidP="005C792B">
      <w:pPr>
        <w:pStyle w:val="COMPara"/>
        <w:ind w:left="567" w:hanging="567"/>
      </w:pPr>
      <w:r>
        <w:t>La Asamblea General podría aprobar la siguiente resolución:</w:t>
      </w:r>
    </w:p>
    <w:p w14:paraId="6CEB1E9D" w14:textId="63EF66D0" w:rsidR="00D95C4C" w:rsidRPr="000631F9" w:rsidRDefault="004A34A0" w:rsidP="001D14FE">
      <w:pPr>
        <w:pStyle w:val="COMTitleDecision"/>
        <w:rPr>
          <w:rFonts w:eastAsia="SimSun"/>
        </w:rPr>
      </w:pPr>
      <w:r>
        <w:t>PROYECTO DE RESOLUCIÓN 10.GA 7</w:t>
      </w:r>
    </w:p>
    <w:p w14:paraId="13024F0B" w14:textId="5181E164" w:rsidR="00D95C4C" w:rsidRPr="000631F9" w:rsidRDefault="005C792B" w:rsidP="00285BB4">
      <w:pPr>
        <w:pStyle w:val="COMPreambulaDecisions"/>
        <w:rPr>
          <w:rFonts w:eastAsia="SimSun"/>
        </w:rPr>
      </w:pPr>
      <w:r>
        <w:t>La Asamblea General,</w:t>
      </w:r>
    </w:p>
    <w:p w14:paraId="5A9F22F3" w14:textId="0FDABF35" w:rsidR="0057439C" w:rsidRPr="00632D63" w:rsidRDefault="00D95C4C" w:rsidP="004A2875">
      <w:pPr>
        <w:pStyle w:val="COMParaDecision"/>
      </w:pPr>
      <w:r w:rsidRPr="00632D63">
        <w:t>Habiendo examinado</w:t>
      </w:r>
      <w:r w:rsidRPr="00632D63">
        <w:rPr>
          <w:u w:val="none"/>
        </w:rPr>
        <w:t xml:space="preserve"> el documento </w:t>
      </w:r>
      <w:hyperlink r:id="rId22" w:history="1">
        <w:r w:rsidRPr="00632D63">
          <w:rPr>
            <w:rStyle w:val="Lienhypertexte"/>
          </w:rPr>
          <w:t>LHE/24/10.GA/7 </w:t>
        </w:r>
      </w:hyperlink>
      <w:r w:rsidRPr="00632D63">
        <w:rPr>
          <w:u w:val="none"/>
        </w:rPr>
        <w:t>y su anexo,</w:t>
      </w:r>
    </w:p>
    <w:p w14:paraId="260CA8D5" w14:textId="072D2FCF" w:rsidR="0057439C" w:rsidRPr="00632D63" w:rsidRDefault="00D3202B" w:rsidP="00954835">
      <w:pPr>
        <w:pStyle w:val="COMParaDecision"/>
      </w:pPr>
      <w:r w:rsidRPr="00632D63">
        <w:t>Recordando</w:t>
      </w:r>
      <w:r w:rsidRPr="00632D63">
        <w:rPr>
          <w:u w:val="none"/>
        </w:rPr>
        <w:t xml:space="preserve"> la Resolución </w:t>
      </w:r>
      <w:hyperlink r:id="rId23" w:history="1">
        <w:r w:rsidRPr="00632D63">
          <w:rPr>
            <w:rStyle w:val="Lienhypertexte"/>
          </w:rPr>
          <w:t>9.GA 9</w:t>
        </w:r>
      </w:hyperlink>
      <w:r w:rsidRPr="00632D63">
        <w:rPr>
          <w:u w:val="none"/>
        </w:rPr>
        <w:t>, así como la</w:t>
      </w:r>
      <w:r w:rsidR="00802C15" w:rsidRPr="00632D63">
        <w:rPr>
          <w:u w:val="none"/>
        </w:rPr>
        <w:t>s</w:t>
      </w:r>
      <w:r w:rsidRPr="00632D63">
        <w:rPr>
          <w:u w:val="none"/>
        </w:rPr>
        <w:t xml:space="preserve"> Decisi</w:t>
      </w:r>
      <w:r w:rsidR="00B221A1" w:rsidRPr="00632D63">
        <w:rPr>
          <w:u w:val="none"/>
        </w:rPr>
        <w:t>o</w:t>
      </w:r>
      <w:r w:rsidRPr="00632D63">
        <w:rPr>
          <w:u w:val="none"/>
        </w:rPr>
        <w:t>n</w:t>
      </w:r>
      <w:r w:rsidR="00802C15" w:rsidRPr="00632D63">
        <w:rPr>
          <w:u w:val="none"/>
        </w:rPr>
        <w:t>es</w:t>
      </w:r>
      <w:r w:rsidRPr="00632D63">
        <w:rPr>
          <w:u w:val="none"/>
        </w:rPr>
        <w:t xml:space="preserve"> </w:t>
      </w:r>
      <w:hyperlink r:id="rId24" w:history="1">
        <w:r w:rsidRPr="00632D63">
          <w:rPr>
            <w:rStyle w:val="Lienhypertexte"/>
          </w:rPr>
          <w:t>16.COM 14</w:t>
        </w:r>
      </w:hyperlink>
      <w:r w:rsidRPr="00632D63">
        <w:rPr>
          <w:u w:val="none"/>
        </w:rPr>
        <w:t xml:space="preserve">, </w:t>
      </w:r>
      <w:hyperlink r:id="rId25" w:history="1">
        <w:r w:rsidRPr="00632D63">
          <w:rPr>
            <w:rStyle w:val="Lienhypertexte"/>
          </w:rPr>
          <w:t>17.COM 7</w:t>
        </w:r>
      </w:hyperlink>
      <w:r w:rsidRPr="00632D63">
        <w:rPr>
          <w:u w:val="none"/>
        </w:rPr>
        <w:t xml:space="preserve">, </w:t>
      </w:r>
      <w:hyperlink r:id="rId26" w:history="1">
        <w:r w:rsidRPr="00632D63">
          <w:rPr>
            <w:rStyle w:val="Lienhypertexte"/>
          </w:rPr>
          <w:t>18.COM 10</w:t>
        </w:r>
      </w:hyperlink>
      <w:r w:rsidRPr="00632D63">
        <w:rPr>
          <w:rStyle w:val="Lienhypertexte"/>
          <w:u w:val="none"/>
        </w:rPr>
        <w:t xml:space="preserve"> </w:t>
      </w:r>
      <w:r w:rsidRPr="00632D63">
        <w:rPr>
          <w:u w:val="none"/>
        </w:rPr>
        <w:t xml:space="preserve">y </w:t>
      </w:r>
      <w:hyperlink r:id="rId27" w:history="1">
        <w:r w:rsidRPr="00632D63">
          <w:rPr>
            <w:rStyle w:val="Lienhypertexte"/>
          </w:rPr>
          <w:t>18.COM 11</w:t>
        </w:r>
      </w:hyperlink>
      <w:r w:rsidRPr="00632D63">
        <w:rPr>
          <w:rStyle w:val="Lienhypertexte"/>
          <w:color w:val="auto"/>
          <w:u w:val="none"/>
        </w:rPr>
        <w:t>,</w:t>
      </w:r>
    </w:p>
    <w:p w14:paraId="61F026F1" w14:textId="232AC3A5" w:rsidR="003E5457" w:rsidRPr="00632D63" w:rsidRDefault="003E5457" w:rsidP="00293DF9">
      <w:pPr>
        <w:pStyle w:val="COMParaDecision"/>
        <w:keepNext/>
        <w:numPr>
          <w:ilvl w:val="0"/>
          <w:numId w:val="0"/>
        </w:numPr>
        <w:spacing w:before="240"/>
        <w:ind w:left="1134"/>
        <w:rPr>
          <w:b/>
          <w:bCs/>
          <w:u w:val="none"/>
        </w:rPr>
      </w:pPr>
      <w:r w:rsidRPr="00632D63">
        <w:rPr>
          <w:b/>
          <w:u w:val="none"/>
        </w:rPr>
        <w:t>Registro de Buenas Prácticas de Salvaguardia</w:t>
      </w:r>
    </w:p>
    <w:p w14:paraId="25B87CDB" w14:textId="747A2994" w:rsidR="000B6FE4" w:rsidRPr="00632D63" w:rsidRDefault="000B6FE4" w:rsidP="00293DF9">
      <w:pPr>
        <w:pStyle w:val="COMParaDecision"/>
        <w:keepNext/>
      </w:pPr>
      <w:r w:rsidRPr="00632D63">
        <w:t>Toma nota</w:t>
      </w:r>
      <w:r w:rsidRPr="00632D63">
        <w:rPr>
          <w:u w:val="none"/>
        </w:rPr>
        <w:t xml:space="preserve"> de las enmiendas propuestas a las Directrices Operativas relativas a los criterios de selección para el Registro de Buenas Prácticas de Salvaguardia, </w:t>
      </w:r>
      <w:r w:rsidR="00FA3C87" w:rsidRPr="00632D63">
        <w:rPr>
          <w:u w:val="none"/>
        </w:rPr>
        <w:t xml:space="preserve">endosadas </w:t>
      </w:r>
      <w:r w:rsidRPr="00632D63">
        <w:rPr>
          <w:u w:val="none"/>
        </w:rPr>
        <w:t>por la decimoctava reunión del Comité y basadas en las recomendaciones del grupo de trabajo intergubernamental de composición abierta;</w:t>
      </w:r>
    </w:p>
    <w:p w14:paraId="7B022736" w14:textId="0D9A1884" w:rsidR="000B6FE4" w:rsidRPr="00632D63" w:rsidRDefault="000B6FE4" w:rsidP="00954835">
      <w:pPr>
        <w:pStyle w:val="COMParaDecision"/>
      </w:pPr>
      <w:r w:rsidRPr="00632D63">
        <w:t>Agradece</w:t>
      </w:r>
      <w:r w:rsidRPr="00632D63">
        <w:rPr>
          <w:u w:val="none"/>
        </w:rPr>
        <w:t xml:space="preserve"> a Suecia </w:t>
      </w:r>
      <w:r w:rsidR="007A14FD" w:rsidRPr="00632D63">
        <w:rPr>
          <w:u w:val="none"/>
        </w:rPr>
        <w:t>por haber</w:t>
      </w:r>
      <w:r w:rsidRPr="00632D63">
        <w:rPr>
          <w:u w:val="none"/>
        </w:rPr>
        <w:t xml:space="preserve"> apoyado la reflexión sobre una aplicación más amplia del Artículo 18 de la Convención;</w:t>
      </w:r>
    </w:p>
    <w:p w14:paraId="7EFF2009" w14:textId="09CB42C8" w:rsidR="007B6D03" w:rsidRPr="00632D63" w:rsidRDefault="007B6D03" w:rsidP="007B6D03">
      <w:pPr>
        <w:pStyle w:val="COMParaDecision"/>
        <w:rPr>
          <w:u w:val="none"/>
        </w:rPr>
      </w:pPr>
      <w:r w:rsidRPr="00632D63">
        <w:t>Expresa su agradecimiento</w:t>
      </w:r>
      <w:r w:rsidRPr="00632D63">
        <w:rPr>
          <w:u w:val="none"/>
        </w:rPr>
        <w:t xml:space="preserve"> al grupo de trabajo intergubernamental de composición abierta y a los expertos que participaron en la consulta por su labor y reflexión sobre cómo mejorar el acceso al Registro de Buenas Prácticas de Salvaguardia y aumentar su visibilidad;</w:t>
      </w:r>
    </w:p>
    <w:p w14:paraId="45ED87D3" w14:textId="49A1EDEE" w:rsidR="0073772F" w:rsidRPr="00632D63" w:rsidRDefault="0073772F" w:rsidP="0073772F">
      <w:pPr>
        <w:pStyle w:val="COMParaDecision"/>
      </w:pPr>
      <w:r w:rsidRPr="00632D63">
        <w:t>Aprueba</w:t>
      </w:r>
      <w:r w:rsidRPr="00632D63">
        <w:rPr>
          <w:u w:val="none"/>
        </w:rPr>
        <w:t xml:space="preserve"> las enmiendas a las Directrices Operativas que figuran en la sección I del anexo de la presente Resolución;</w:t>
      </w:r>
    </w:p>
    <w:p w14:paraId="34926A55" w14:textId="6A630D72" w:rsidR="003E5457" w:rsidRPr="00632D63" w:rsidRDefault="003E5457" w:rsidP="00573ED2">
      <w:pPr>
        <w:pStyle w:val="COMParaDecision"/>
        <w:numPr>
          <w:ilvl w:val="0"/>
          <w:numId w:val="0"/>
        </w:numPr>
        <w:spacing w:before="240"/>
        <w:ind w:left="1134"/>
        <w:rPr>
          <w:b/>
          <w:bCs/>
          <w:u w:val="none"/>
        </w:rPr>
      </w:pPr>
      <w:r w:rsidRPr="00632D63">
        <w:rPr>
          <w:b/>
          <w:u w:val="none"/>
        </w:rPr>
        <w:t>Asistencia internacional</w:t>
      </w:r>
    </w:p>
    <w:p w14:paraId="20ED9DFF" w14:textId="23340560" w:rsidR="00AD50A7" w:rsidRPr="00632D63" w:rsidRDefault="003E5457" w:rsidP="00381294">
      <w:pPr>
        <w:pStyle w:val="COMParaDecision"/>
        <w:rPr>
          <w:u w:val="none"/>
        </w:rPr>
      </w:pPr>
      <w:r w:rsidRPr="00632D63">
        <w:t>Toma nota</w:t>
      </w:r>
      <w:r w:rsidRPr="00632D63">
        <w:rPr>
          <w:u w:val="none"/>
        </w:rPr>
        <w:t xml:space="preserve"> de las enmiendas propuestas a las Directrices Operativas </w:t>
      </w:r>
      <w:r w:rsidR="003974A4" w:rsidRPr="00632D63">
        <w:rPr>
          <w:u w:val="none"/>
        </w:rPr>
        <w:t xml:space="preserve">para </w:t>
      </w:r>
      <w:r w:rsidRPr="00632D63">
        <w:rPr>
          <w:u w:val="none"/>
        </w:rPr>
        <w:t xml:space="preserve">ampliar el alcance de la asistencia internacional preparatoria, </w:t>
      </w:r>
      <w:r w:rsidR="003974A4" w:rsidRPr="00632D63">
        <w:rPr>
          <w:u w:val="none"/>
        </w:rPr>
        <w:t xml:space="preserve">endosadas </w:t>
      </w:r>
      <w:r w:rsidRPr="00632D63">
        <w:rPr>
          <w:u w:val="none"/>
        </w:rPr>
        <w:t>por la decimoctava reunión del Comité;</w:t>
      </w:r>
    </w:p>
    <w:p w14:paraId="3AF68D50" w14:textId="650B0036" w:rsidR="00381294" w:rsidRPr="000631F9" w:rsidRDefault="0073772F" w:rsidP="00381294">
      <w:pPr>
        <w:pStyle w:val="COMParaDecision"/>
        <w:rPr>
          <w:sz w:val="24"/>
          <w:szCs w:val="24"/>
          <w:u w:val="none"/>
        </w:rPr>
      </w:pPr>
      <w:r w:rsidRPr="00632D63">
        <w:t>Alienta</w:t>
      </w:r>
      <w:r w:rsidRPr="00632D63">
        <w:rPr>
          <w:u w:val="none"/>
        </w:rPr>
        <w:t xml:space="preserve"> a los </w:t>
      </w:r>
      <w:proofErr w:type="gramStart"/>
      <w:r w:rsidRPr="00632D63">
        <w:rPr>
          <w:u w:val="none"/>
        </w:rPr>
        <w:t>Estados Partes</w:t>
      </w:r>
      <w:proofErr w:type="gramEnd"/>
      <w:r w:rsidRPr="00632D63">
        <w:rPr>
          <w:u w:val="none"/>
        </w:rPr>
        <w:t xml:space="preserve"> </w:t>
      </w:r>
      <w:r w:rsidR="009F16DD" w:rsidRPr="00632D63">
        <w:rPr>
          <w:rStyle w:val="Aucun"/>
          <w:u w:val="none"/>
        </w:rPr>
        <w:t>elegibles</w:t>
      </w:r>
      <w:r w:rsidRPr="00632D63">
        <w:rPr>
          <w:u w:val="none"/>
        </w:rPr>
        <w:t xml:space="preserve"> que</w:t>
      </w:r>
      <w:r>
        <w:rPr>
          <w:u w:val="none"/>
        </w:rPr>
        <w:t xml:space="preserve"> no dispongan de un elemento nacional inscrito en las listas de la Convención a que soliciten asistencia al Fondo para preparar su primer expediente de candidatura nacional </w:t>
      </w:r>
      <w:r w:rsidR="009F16DD">
        <w:rPr>
          <w:u w:val="none"/>
        </w:rPr>
        <w:t>para</w:t>
      </w:r>
      <w:r>
        <w:rPr>
          <w:u w:val="none"/>
        </w:rPr>
        <w:t xml:space="preserve"> la Lista Representativa del Patrimonio Cultural Inmaterial de la Humanidad</w:t>
      </w:r>
      <w:r>
        <w:rPr>
          <w:rStyle w:val="Aucun"/>
          <w:u w:val="none"/>
        </w:rPr>
        <w:t xml:space="preserve">, teniendo en cuenta que el próximo plazo </w:t>
      </w:r>
      <w:r w:rsidR="009F16DD">
        <w:rPr>
          <w:rStyle w:val="Aucun"/>
          <w:u w:val="none"/>
        </w:rPr>
        <w:t>d</w:t>
      </w:r>
      <w:r>
        <w:rPr>
          <w:rStyle w:val="Aucun"/>
          <w:u w:val="none"/>
        </w:rPr>
        <w:t xml:space="preserve">el </w:t>
      </w:r>
      <w:r>
        <w:rPr>
          <w:u w:val="none"/>
        </w:rPr>
        <w:t>31 de marzo de 2025 y a partir de entonces cada año;</w:t>
      </w:r>
    </w:p>
    <w:p w14:paraId="1EAB2934" w14:textId="31B61A7F" w:rsidR="00014915" w:rsidRPr="000631F9" w:rsidRDefault="00807F3A" w:rsidP="00A66747">
      <w:pPr>
        <w:pStyle w:val="COMParaDecision"/>
      </w:pPr>
      <w:r>
        <w:t>Aprueba</w:t>
      </w:r>
      <w:r>
        <w:rPr>
          <w:u w:val="none"/>
        </w:rPr>
        <w:t xml:space="preserve"> las enmiendas a las Directrices Operativas que figuran en la sección II del anexo de la presente Resolución.</w:t>
      </w:r>
    </w:p>
    <w:p w14:paraId="772F8E42" w14:textId="4E2EF8F7" w:rsidR="007B6D03" w:rsidRPr="000631F9" w:rsidRDefault="00937D53" w:rsidP="002E0E56">
      <w:pPr>
        <w:rPr>
          <w:rFonts w:ascii="Arial" w:eastAsia="SimSun" w:hAnsi="Arial" w:cs="Arial"/>
          <w:sz w:val="22"/>
          <w:szCs w:val="22"/>
          <w:u w:val="single"/>
        </w:rPr>
        <w:sectPr w:rsidR="007B6D03" w:rsidRPr="000631F9" w:rsidSect="0037663E">
          <w:headerReference w:type="even" r:id="rId28"/>
          <w:headerReference w:type="default" r:id="rId29"/>
          <w:headerReference w:type="first" r:id="rId30"/>
          <w:pgSz w:w="11906" w:h="16838" w:code="9"/>
          <w:pgMar w:top="1418" w:right="1134" w:bottom="1134" w:left="1134" w:header="397" w:footer="284" w:gutter="0"/>
          <w:cols w:space="708"/>
          <w:titlePg/>
          <w:docGrid w:linePitch="360"/>
        </w:sectPr>
      </w:pPr>
      <w:r>
        <w:br w:type="page"/>
      </w:r>
    </w:p>
    <w:p w14:paraId="48BCC613" w14:textId="77777777" w:rsidR="00D57F7C" w:rsidRPr="0061635A" w:rsidRDefault="00D57F7C" w:rsidP="00D57F7C">
      <w:pPr>
        <w:spacing w:after="240"/>
        <w:jc w:val="center"/>
        <w:rPr>
          <w:rFonts w:asciiTheme="minorBidi" w:hAnsiTheme="minorBidi"/>
          <w:b/>
          <w:bCs/>
          <w:sz w:val="22"/>
          <w:szCs w:val="22"/>
        </w:rPr>
      </w:pPr>
      <w:r w:rsidRPr="0061635A">
        <w:rPr>
          <w:rFonts w:asciiTheme="minorBidi" w:hAnsiTheme="minorBidi"/>
          <w:b/>
          <w:sz w:val="22"/>
          <w:szCs w:val="22"/>
        </w:rPr>
        <w:lastRenderedPageBreak/>
        <w:t>ANEXO</w:t>
      </w:r>
    </w:p>
    <w:p w14:paraId="0D079CC6" w14:textId="77777777" w:rsidR="00D57F7C" w:rsidRPr="0061635A" w:rsidRDefault="00D57F7C" w:rsidP="00D57F7C">
      <w:pPr>
        <w:jc w:val="center"/>
        <w:rPr>
          <w:rFonts w:asciiTheme="minorBidi" w:hAnsiTheme="minorBidi"/>
          <w:b/>
          <w:sz w:val="22"/>
          <w:szCs w:val="22"/>
        </w:rPr>
      </w:pPr>
      <w:r w:rsidRPr="0061635A">
        <w:rPr>
          <w:rFonts w:asciiTheme="minorBidi" w:hAnsiTheme="minorBidi"/>
          <w:b/>
          <w:sz w:val="22"/>
          <w:szCs w:val="22"/>
        </w:rPr>
        <w:t>Enmiendas propuestas a las Directrices Operativas para la aplicación de la Convención</w:t>
      </w:r>
    </w:p>
    <w:p w14:paraId="1E843CE4" w14:textId="77777777" w:rsidR="008D6BA4" w:rsidRPr="0061635A" w:rsidRDefault="008D6BA4" w:rsidP="00D57F7C">
      <w:pPr>
        <w:jc w:val="center"/>
        <w:rPr>
          <w:rFonts w:asciiTheme="minorBidi" w:hAnsiTheme="minorBidi"/>
          <w:b/>
          <w:sz w:val="22"/>
          <w:szCs w:val="22"/>
        </w:rPr>
      </w:pPr>
    </w:p>
    <w:p w14:paraId="1BE335A6" w14:textId="0C654B7C" w:rsidR="008D6BA4" w:rsidRPr="00F5428B" w:rsidRDefault="008D6BA4" w:rsidP="0061635A">
      <w:pPr>
        <w:pStyle w:val="Titre4"/>
        <w:ind w:left="567" w:hanging="567"/>
        <w:rPr>
          <w:u w:val="single"/>
        </w:rPr>
      </w:pPr>
      <w:bookmarkStart w:id="5" w:name="_Criterios_de_selección"/>
      <w:bookmarkEnd w:id="5"/>
      <w:r w:rsidRPr="00F5428B">
        <w:rPr>
          <w:u w:val="single"/>
        </w:rPr>
        <w:t>Criterios de selección de programas, proyectos y actividades que reflejan del modo más adecuado los principios y objetivos de la Convención</w:t>
      </w:r>
    </w:p>
    <w:tbl>
      <w:tblPr>
        <w:tblStyle w:val="Grilledutableau2"/>
        <w:tblW w:w="14312" w:type="dxa"/>
        <w:tblLayout w:type="fixed"/>
        <w:tblLook w:val="04A0" w:firstRow="1" w:lastRow="0" w:firstColumn="1" w:lastColumn="0" w:noHBand="0" w:noVBand="1"/>
      </w:tblPr>
      <w:tblGrid>
        <w:gridCol w:w="562"/>
        <w:gridCol w:w="6521"/>
        <w:gridCol w:w="567"/>
        <w:gridCol w:w="6662"/>
      </w:tblGrid>
      <w:tr w:rsidR="00D57F7C" w:rsidRPr="004413A4" w14:paraId="3CAE6543" w14:textId="77777777" w:rsidTr="006F3E09">
        <w:tc>
          <w:tcPr>
            <w:tcW w:w="7083" w:type="dxa"/>
            <w:gridSpan w:val="2"/>
            <w:shd w:val="clear" w:color="auto" w:fill="DBE5F1" w:themeFill="accent1" w:themeFillTint="33"/>
          </w:tcPr>
          <w:p w14:paraId="01AC1BDA" w14:textId="77777777" w:rsidR="00D57F7C" w:rsidRPr="0061635A" w:rsidRDefault="00D57F7C" w:rsidP="006F3E09">
            <w:pPr>
              <w:spacing w:before="120" w:after="120"/>
              <w:jc w:val="center"/>
              <w:rPr>
                <w:rFonts w:asciiTheme="minorBidi" w:hAnsiTheme="minorBidi" w:cstheme="minorBidi"/>
                <w:b/>
                <w:bCs/>
                <w:sz w:val="22"/>
                <w:szCs w:val="22"/>
              </w:rPr>
            </w:pPr>
            <w:r w:rsidRPr="0061635A">
              <w:rPr>
                <w:rFonts w:asciiTheme="minorBidi" w:hAnsiTheme="minorBidi"/>
                <w:b/>
                <w:sz w:val="22"/>
                <w:szCs w:val="22"/>
              </w:rPr>
              <w:t>Directrices Operativas (edición de 2022)</w:t>
            </w:r>
          </w:p>
        </w:tc>
        <w:tc>
          <w:tcPr>
            <w:tcW w:w="7229" w:type="dxa"/>
            <w:gridSpan w:val="2"/>
            <w:shd w:val="clear" w:color="auto" w:fill="95B3D7" w:themeFill="accent1" w:themeFillTint="99"/>
          </w:tcPr>
          <w:p w14:paraId="42B53491" w14:textId="77777777" w:rsidR="00D57F7C" w:rsidRPr="0061635A" w:rsidRDefault="00D57F7C" w:rsidP="006F3E09">
            <w:pPr>
              <w:spacing w:before="120" w:after="120"/>
              <w:jc w:val="center"/>
              <w:rPr>
                <w:rFonts w:asciiTheme="minorBidi" w:hAnsiTheme="minorBidi" w:cstheme="minorBidi"/>
                <w:b/>
                <w:bCs/>
                <w:sz w:val="22"/>
                <w:szCs w:val="22"/>
              </w:rPr>
            </w:pPr>
            <w:r w:rsidRPr="0061635A">
              <w:rPr>
                <w:rFonts w:asciiTheme="minorBidi" w:hAnsiTheme="minorBidi"/>
                <w:b/>
                <w:sz w:val="22"/>
                <w:szCs w:val="22"/>
              </w:rPr>
              <w:t>Enmiendas propuestas</w:t>
            </w:r>
          </w:p>
        </w:tc>
      </w:tr>
      <w:tr w:rsidR="00D57F7C" w:rsidRPr="004413A4" w14:paraId="5D539288" w14:textId="77777777" w:rsidTr="006F3E09">
        <w:tc>
          <w:tcPr>
            <w:tcW w:w="562" w:type="dxa"/>
            <w:shd w:val="clear" w:color="auto" w:fill="F2F2F2"/>
          </w:tcPr>
          <w:p w14:paraId="096F89DE" w14:textId="77777777" w:rsidR="00D57F7C" w:rsidRPr="0061635A" w:rsidRDefault="00D57F7C" w:rsidP="006F3E09">
            <w:pPr>
              <w:keepNext/>
              <w:keepLines/>
              <w:spacing w:before="120" w:after="120"/>
              <w:rPr>
                <w:rFonts w:asciiTheme="minorBidi" w:hAnsiTheme="minorBidi" w:cstheme="minorBidi"/>
                <w:b/>
                <w:bCs/>
                <w:color w:val="1F4E79"/>
                <w:sz w:val="22"/>
                <w:szCs w:val="22"/>
              </w:rPr>
            </w:pPr>
            <w:r w:rsidRPr="0061635A">
              <w:rPr>
                <w:rFonts w:asciiTheme="minorBidi" w:hAnsiTheme="minorBidi"/>
                <w:b/>
                <w:color w:val="1F4E79"/>
                <w:sz w:val="22"/>
                <w:szCs w:val="22"/>
              </w:rPr>
              <w:t>I.3</w:t>
            </w:r>
          </w:p>
        </w:tc>
        <w:tc>
          <w:tcPr>
            <w:tcW w:w="6521" w:type="dxa"/>
            <w:shd w:val="clear" w:color="auto" w:fill="F2F2F2"/>
          </w:tcPr>
          <w:p w14:paraId="1708CAEA" w14:textId="77777777" w:rsidR="00D57F7C" w:rsidRPr="0061635A" w:rsidRDefault="00D57F7C" w:rsidP="006F3E09">
            <w:pPr>
              <w:keepNext/>
              <w:keepLines/>
              <w:spacing w:before="120" w:after="120"/>
              <w:rPr>
                <w:rFonts w:asciiTheme="minorBidi" w:hAnsiTheme="minorBidi" w:cstheme="minorBidi"/>
                <w:b/>
                <w:bCs/>
                <w:color w:val="1F4E79"/>
                <w:sz w:val="22"/>
                <w:szCs w:val="22"/>
              </w:rPr>
            </w:pPr>
            <w:r w:rsidRPr="0061635A">
              <w:rPr>
                <w:rFonts w:asciiTheme="minorBidi" w:hAnsiTheme="minorBidi"/>
                <w:b/>
                <w:color w:val="1F4E79"/>
                <w:sz w:val="22"/>
                <w:szCs w:val="22"/>
              </w:rPr>
              <w:t>Criterios de selección de programas, proyectos y actividades que reflejan del modo más adecuado los principios y objetivos de la Convención</w:t>
            </w:r>
          </w:p>
        </w:tc>
        <w:tc>
          <w:tcPr>
            <w:tcW w:w="567" w:type="dxa"/>
            <w:shd w:val="clear" w:color="auto" w:fill="F2F2F2"/>
          </w:tcPr>
          <w:p w14:paraId="475D2E80" w14:textId="77777777" w:rsidR="00D57F7C" w:rsidRPr="0061635A" w:rsidRDefault="00D57F7C" w:rsidP="006F3E09">
            <w:pPr>
              <w:keepNext/>
              <w:keepLines/>
              <w:spacing w:before="120" w:after="120"/>
              <w:rPr>
                <w:rFonts w:asciiTheme="minorBidi" w:hAnsiTheme="minorBidi" w:cstheme="minorBidi"/>
                <w:b/>
                <w:bCs/>
                <w:sz w:val="22"/>
                <w:szCs w:val="22"/>
              </w:rPr>
            </w:pPr>
            <w:r w:rsidRPr="0061635A">
              <w:rPr>
                <w:rFonts w:asciiTheme="minorBidi" w:hAnsiTheme="minorBidi"/>
                <w:b/>
                <w:color w:val="1F4E79"/>
                <w:sz w:val="22"/>
                <w:szCs w:val="22"/>
              </w:rPr>
              <w:t>I.3</w:t>
            </w:r>
          </w:p>
        </w:tc>
        <w:tc>
          <w:tcPr>
            <w:tcW w:w="6662" w:type="dxa"/>
            <w:shd w:val="clear" w:color="auto" w:fill="F2F2F2"/>
          </w:tcPr>
          <w:p w14:paraId="5CCDC6E1" w14:textId="77777777" w:rsidR="00D57F7C" w:rsidRPr="004413A4" w:rsidRDefault="00D57F7C" w:rsidP="006F3E09">
            <w:pPr>
              <w:pStyle w:val="Notedebasdepage"/>
              <w:keepNext/>
              <w:keepLines/>
              <w:spacing w:before="120" w:after="120"/>
              <w:rPr>
                <w:rFonts w:asciiTheme="minorBidi" w:eastAsia="Yu Mincho" w:hAnsiTheme="minorBidi" w:cstheme="minorBidi"/>
                <w:sz w:val="22"/>
                <w:szCs w:val="22"/>
              </w:rPr>
            </w:pPr>
            <w:r w:rsidRPr="0061635A">
              <w:rPr>
                <w:rFonts w:asciiTheme="minorBidi" w:hAnsiTheme="minorBidi"/>
                <w:sz w:val="22"/>
                <w:szCs w:val="22"/>
              </w:rPr>
              <w:t>[Sin cambio.]</w:t>
            </w:r>
          </w:p>
        </w:tc>
      </w:tr>
      <w:tr w:rsidR="00D57F7C" w:rsidRPr="004413A4" w14:paraId="6F198100" w14:textId="77777777" w:rsidTr="006F3E09">
        <w:tc>
          <w:tcPr>
            <w:tcW w:w="562" w:type="dxa"/>
          </w:tcPr>
          <w:p w14:paraId="6A2961B7" w14:textId="77777777" w:rsidR="00D57F7C" w:rsidRPr="0061635A" w:rsidRDefault="00D57F7C" w:rsidP="006F3E09">
            <w:pPr>
              <w:spacing w:before="60" w:after="60"/>
              <w:rPr>
                <w:rFonts w:asciiTheme="minorBidi" w:hAnsiTheme="minorBidi" w:cstheme="minorBidi"/>
                <w:sz w:val="22"/>
                <w:szCs w:val="22"/>
              </w:rPr>
            </w:pPr>
            <w:r w:rsidRPr="0061635A">
              <w:rPr>
                <w:rFonts w:asciiTheme="minorBidi" w:hAnsiTheme="minorBidi"/>
                <w:sz w:val="22"/>
                <w:szCs w:val="22"/>
              </w:rPr>
              <w:t>7.</w:t>
            </w:r>
          </w:p>
        </w:tc>
        <w:tc>
          <w:tcPr>
            <w:tcW w:w="6521" w:type="dxa"/>
          </w:tcPr>
          <w:p w14:paraId="03679118" w14:textId="38E162A6" w:rsidR="00D11ABD" w:rsidRDefault="004413A4" w:rsidP="006F3E09">
            <w:pPr>
              <w:widowControl w:val="0"/>
              <w:tabs>
                <w:tab w:val="left" w:pos="2127"/>
                <w:tab w:val="left" w:pos="2176"/>
              </w:tabs>
              <w:autoSpaceDE w:val="0"/>
              <w:autoSpaceDN w:val="0"/>
              <w:spacing w:before="60" w:after="60"/>
              <w:rPr>
                <w:rFonts w:asciiTheme="minorBidi" w:hAnsiTheme="minorBidi"/>
                <w:color w:val="231F20"/>
                <w:sz w:val="22"/>
                <w:szCs w:val="22"/>
              </w:rPr>
            </w:pPr>
            <w:bookmarkStart w:id="6" w:name="_Hlk166246406"/>
            <w:r w:rsidRPr="004413A4">
              <w:rPr>
                <w:rFonts w:asciiTheme="minorBidi" w:hAnsiTheme="minorBidi"/>
                <w:color w:val="231F20"/>
                <w:sz w:val="22"/>
                <w:szCs w:val="22"/>
              </w:rPr>
              <w:t>El Comité seleccionará los programas, proyectos y actividades propuestos</w:t>
            </w:r>
            <w:r>
              <w:rPr>
                <w:rFonts w:asciiTheme="minorBidi" w:hAnsiTheme="minorBidi"/>
                <w:color w:val="231F20"/>
                <w:sz w:val="22"/>
                <w:szCs w:val="22"/>
              </w:rPr>
              <w:t xml:space="preserve"> </w:t>
            </w:r>
            <w:r w:rsidRPr="004413A4">
              <w:rPr>
                <w:rFonts w:asciiTheme="minorBidi" w:hAnsiTheme="minorBidi"/>
                <w:color w:val="231F20"/>
                <w:sz w:val="22"/>
                <w:szCs w:val="22"/>
              </w:rPr>
              <w:t xml:space="preserve">que mejor se ajusten a todos los criterios enumerados a continuación: </w:t>
            </w:r>
            <w:bookmarkEnd w:id="6"/>
          </w:p>
          <w:p w14:paraId="3DE19CCB" w14:textId="39923D67"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P.1 El programa, proyecto o actividad </w:t>
            </w:r>
            <w:r w:rsidR="004413A4">
              <w:rPr>
                <w:rFonts w:asciiTheme="minorBidi" w:hAnsiTheme="minorBidi"/>
                <w:color w:val="231F20"/>
                <w:sz w:val="22"/>
                <w:szCs w:val="22"/>
              </w:rPr>
              <w:t>implica una</w:t>
            </w:r>
            <w:r w:rsidRPr="0061635A">
              <w:rPr>
                <w:rFonts w:asciiTheme="minorBidi" w:hAnsiTheme="minorBidi"/>
                <w:color w:val="231F20"/>
                <w:sz w:val="22"/>
                <w:szCs w:val="22"/>
              </w:rPr>
              <w:t xml:space="preserve"> salvaguardia, tal como se define en el artículo 2.3 de la Convención.</w:t>
            </w:r>
          </w:p>
          <w:p w14:paraId="1348DAE3" w14:textId="7270674F"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P.2 El programa, proyecto o actividad promueve la coordinación de</w:t>
            </w:r>
            <w:r w:rsidR="005633CF">
              <w:rPr>
                <w:rFonts w:asciiTheme="minorBidi" w:hAnsiTheme="minorBidi"/>
                <w:color w:val="231F20"/>
                <w:sz w:val="22"/>
                <w:szCs w:val="22"/>
              </w:rPr>
              <w:t xml:space="preserve"> los esfuerzos</w:t>
            </w:r>
            <w:r w:rsidRPr="0061635A">
              <w:rPr>
                <w:rFonts w:asciiTheme="minorBidi" w:hAnsiTheme="minorBidi"/>
                <w:color w:val="231F20"/>
                <w:sz w:val="22"/>
                <w:szCs w:val="22"/>
              </w:rPr>
              <w:t xml:space="preserve"> </w:t>
            </w:r>
            <w:r w:rsidR="005633CF">
              <w:rPr>
                <w:rFonts w:asciiTheme="minorBidi" w:hAnsiTheme="minorBidi"/>
                <w:color w:val="231F20"/>
                <w:sz w:val="22"/>
                <w:szCs w:val="22"/>
              </w:rPr>
              <w:t xml:space="preserve">encaminados a </w:t>
            </w:r>
            <w:r w:rsidRPr="0061635A">
              <w:rPr>
                <w:rFonts w:asciiTheme="minorBidi" w:hAnsiTheme="minorBidi"/>
                <w:color w:val="231F20"/>
                <w:sz w:val="22"/>
                <w:szCs w:val="22"/>
              </w:rPr>
              <w:t xml:space="preserve">salvaguardar el patrimonio cultural inmaterial </w:t>
            </w:r>
            <w:r w:rsidR="005633CF">
              <w:rPr>
                <w:rFonts w:asciiTheme="minorBidi" w:hAnsiTheme="minorBidi"/>
                <w:color w:val="231F20"/>
                <w:sz w:val="22"/>
                <w:szCs w:val="22"/>
              </w:rPr>
              <w:t xml:space="preserve">en el ámbito </w:t>
            </w:r>
            <w:r w:rsidRPr="0061635A">
              <w:rPr>
                <w:rFonts w:asciiTheme="minorBidi" w:hAnsiTheme="minorBidi"/>
                <w:color w:val="231F20"/>
                <w:sz w:val="22"/>
                <w:szCs w:val="22"/>
              </w:rPr>
              <w:t xml:space="preserve">regional, subregional </w:t>
            </w:r>
            <w:r w:rsidR="005633CF">
              <w:rPr>
                <w:rFonts w:asciiTheme="minorBidi" w:hAnsiTheme="minorBidi"/>
                <w:color w:val="231F20"/>
                <w:sz w:val="22"/>
                <w:szCs w:val="22"/>
              </w:rPr>
              <w:t>y/</w:t>
            </w:r>
            <w:r w:rsidRPr="0061635A">
              <w:rPr>
                <w:rFonts w:asciiTheme="minorBidi" w:hAnsiTheme="minorBidi"/>
                <w:color w:val="231F20"/>
                <w:sz w:val="22"/>
                <w:szCs w:val="22"/>
              </w:rPr>
              <w:t xml:space="preserve">o internacional. </w:t>
            </w:r>
          </w:p>
          <w:p w14:paraId="6D01E059" w14:textId="77777777"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P.3 El programa, proyecto o actividad refleja los principios y objetivos de la Convención. </w:t>
            </w:r>
          </w:p>
          <w:p w14:paraId="7C08A4C6" w14:textId="536A3F79"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P.4 El programa, proyecto o actividad ha demostrado s</w:t>
            </w:r>
            <w:r w:rsidR="00696C68">
              <w:rPr>
                <w:rFonts w:asciiTheme="minorBidi" w:hAnsiTheme="minorBidi"/>
                <w:color w:val="231F20"/>
                <w:sz w:val="22"/>
                <w:szCs w:val="22"/>
              </w:rPr>
              <w:t>er eficaz</w:t>
            </w:r>
            <w:r w:rsidRPr="0061635A">
              <w:rPr>
                <w:rFonts w:asciiTheme="minorBidi" w:hAnsiTheme="minorBidi"/>
                <w:color w:val="231F20"/>
                <w:sz w:val="22"/>
                <w:szCs w:val="22"/>
              </w:rPr>
              <w:t xml:space="preserve"> para contribuir a la viabilidad del patrimonio cultural inmaterial </w:t>
            </w:r>
            <w:r w:rsidR="00696C68">
              <w:rPr>
                <w:rFonts w:asciiTheme="minorBidi" w:hAnsiTheme="minorBidi"/>
                <w:color w:val="231F20"/>
                <w:sz w:val="22"/>
                <w:szCs w:val="22"/>
              </w:rPr>
              <w:t>de que se trate</w:t>
            </w:r>
            <w:r w:rsidRPr="0061635A">
              <w:rPr>
                <w:rFonts w:asciiTheme="minorBidi" w:hAnsiTheme="minorBidi"/>
                <w:color w:val="231F20"/>
                <w:sz w:val="22"/>
                <w:szCs w:val="22"/>
              </w:rPr>
              <w:t xml:space="preserve">. </w:t>
            </w:r>
          </w:p>
          <w:p w14:paraId="72A6363D" w14:textId="6F01FB68"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P.5 El programa, proyecto o actividad </w:t>
            </w:r>
            <w:r w:rsidR="00696C68">
              <w:rPr>
                <w:rFonts w:asciiTheme="minorBidi" w:hAnsiTheme="minorBidi"/>
                <w:color w:val="231F20"/>
                <w:sz w:val="22"/>
                <w:szCs w:val="22"/>
              </w:rPr>
              <w:t xml:space="preserve">es o ha sido </w:t>
            </w:r>
            <w:r w:rsidRPr="0061635A">
              <w:rPr>
                <w:rFonts w:asciiTheme="minorBidi" w:hAnsiTheme="minorBidi"/>
                <w:color w:val="231F20"/>
                <w:sz w:val="22"/>
                <w:szCs w:val="22"/>
              </w:rPr>
              <w:t>ejecuta</w:t>
            </w:r>
            <w:r w:rsidR="00696C68">
              <w:rPr>
                <w:rFonts w:asciiTheme="minorBidi" w:hAnsiTheme="minorBidi"/>
                <w:color w:val="231F20"/>
                <w:sz w:val="22"/>
                <w:szCs w:val="22"/>
              </w:rPr>
              <w:t>do</w:t>
            </w:r>
            <w:r w:rsidRPr="0061635A">
              <w:rPr>
                <w:rFonts w:asciiTheme="minorBidi" w:hAnsiTheme="minorBidi"/>
                <w:color w:val="231F20"/>
                <w:sz w:val="22"/>
                <w:szCs w:val="22"/>
              </w:rPr>
              <w:t xml:space="preserve"> con la participación de la comunidad, el grupo o, </w:t>
            </w:r>
            <w:r w:rsidR="00696C68">
              <w:rPr>
                <w:rFonts w:asciiTheme="minorBidi" w:hAnsiTheme="minorBidi"/>
                <w:color w:val="231F20"/>
                <w:sz w:val="22"/>
                <w:szCs w:val="22"/>
              </w:rPr>
              <w:t>si procede</w:t>
            </w:r>
            <w:r w:rsidRPr="0061635A">
              <w:rPr>
                <w:rFonts w:asciiTheme="minorBidi" w:hAnsiTheme="minorBidi"/>
                <w:color w:val="231F20"/>
                <w:sz w:val="22"/>
                <w:szCs w:val="22"/>
              </w:rPr>
              <w:t>, l</w:t>
            </w:r>
            <w:r w:rsidR="00696C68">
              <w:rPr>
                <w:rFonts w:asciiTheme="minorBidi" w:hAnsiTheme="minorBidi"/>
                <w:color w:val="231F20"/>
                <w:sz w:val="22"/>
                <w:szCs w:val="22"/>
              </w:rPr>
              <w:t>o</w:t>
            </w:r>
            <w:r w:rsidRPr="0061635A">
              <w:rPr>
                <w:rFonts w:asciiTheme="minorBidi" w:hAnsiTheme="minorBidi"/>
                <w:color w:val="231F20"/>
                <w:sz w:val="22"/>
                <w:szCs w:val="22"/>
              </w:rPr>
              <w:t xml:space="preserve">s </w:t>
            </w:r>
            <w:r w:rsidR="00696C68">
              <w:rPr>
                <w:rFonts w:asciiTheme="minorBidi" w:hAnsiTheme="minorBidi"/>
                <w:color w:val="231F20"/>
                <w:sz w:val="22"/>
                <w:szCs w:val="22"/>
              </w:rPr>
              <w:t>individuos</w:t>
            </w:r>
            <w:r w:rsidRPr="0061635A">
              <w:rPr>
                <w:rFonts w:asciiTheme="minorBidi" w:hAnsiTheme="minorBidi"/>
                <w:color w:val="231F20"/>
                <w:sz w:val="22"/>
                <w:szCs w:val="22"/>
              </w:rPr>
              <w:t xml:space="preserve"> interesad</w:t>
            </w:r>
            <w:r w:rsidR="00696C68">
              <w:rPr>
                <w:rFonts w:asciiTheme="minorBidi" w:hAnsiTheme="minorBidi"/>
                <w:color w:val="231F20"/>
                <w:sz w:val="22"/>
                <w:szCs w:val="22"/>
              </w:rPr>
              <w:t>o</w:t>
            </w:r>
            <w:r w:rsidRPr="0061635A">
              <w:rPr>
                <w:rFonts w:asciiTheme="minorBidi" w:hAnsiTheme="minorBidi"/>
                <w:color w:val="231F20"/>
                <w:sz w:val="22"/>
                <w:szCs w:val="22"/>
              </w:rPr>
              <w:t>s</w:t>
            </w:r>
            <w:r w:rsidR="00696C68">
              <w:rPr>
                <w:rFonts w:asciiTheme="minorBidi" w:hAnsiTheme="minorBidi"/>
                <w:color w:val="231F20"/>
                <w:sz w:val="22"/>
                <w:szCs w:val="22"/>
              </w:rPr>
              <w:t>,</w:t>
            </w:r>
            <w:r w:rsidRPr="0061635A">
              <w:rPr>
                <w:rFonts w:asciiTheme="minorBidi" w:hAnsiTheme="minorBidi"/>
                <w:color w:val="231F20"/>
                <w:sz w:val="22"/>
                <w:szCs w:val="22"/>
              </w:rPr>
              <w:t xml:space="preserve"> y con su consentimiento libre, previo e informado. </w:t>
            </w:r>
          </w:p>
          <w:p w14:paraId="6D7BBB2B" w14:textId="1BA7AE49"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P.6 El programa, proyecto o actividad </w:t>
            </w:r>
            <w:r w:rsidR="00696C68">
              <w:rPr>
                <w:rFonts w:asciiTheme="minorBidi" w:hAnsiTheme="minorBidi"/>
                <w:color w:val="231F20"/>
                <w:sz w:val="22"/>
                <w:szCs w:val="22"/>
              </w:rPr>
              <w:t xml:space="preserve">podría </w:t>
            </w:r>
            <w:r w:rsidRPr="0061635A">
              <w:rPr>
                <w:rFonts w:asciiTheme="minorBidi" w:hAnsiTheme="minorBidi"/>
                <w:color w:val="231F20"/>
                <w:sz w:val="22"/>
                <w:szCs w:val="22"/>
              </w:rPr>
              <w:t xml:space="preserve">servir de modelo subregional, regional o internacional, según el caso, para actividades de salvaguardia. </w:t>
            </w:r>
          </w:p>
          <w:p w14:paraId="3EC847F3" w14:textId="41D743F2"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P.7 El (Los) Estado(s) Parte(s) solicitante(s), el (los) organismo(s) </w:t>
            </w:r>
            <w:r w:rsidR="00696C68">
              <w:rPr>
                <w:rFonts w:asciiTheme="minorBidi" w:hAnsiTheme="minorBidi"/>
                <w:color w:val="231F20"/>
                <w:sz w:val="22"/>
                <w:szCs w:val="22"/>
              </w:rPr>
              <w:t xml:space="preserve">encargado(s) </w:t>
            </w:r>
            <w:r w:rsidRPr="0061635A">
              <w:rPr>
                <w:rFonts w:asciiTheme="minorBidi" w:hAnsiTheme="minorBidi"/>
                <w:color w:val="231F20"/>
                <w:sz w:val="22"/>
                <w:szCs w:val="22"/>
              </w:rPr>
              <w:t>de</w:t>
            </w:r>
            <w:r w:rsidR="00696C68">
              <w:rPr>
                <w:rFonts w:asciiTheme="minorBidi" w:hAnsiTheme="minorBidi"/>
                <w:color w:val="231F20"/>
                <w:sz w:val="22"/>
                <w:szCs w:val="22"/>
              </w:rPr>
              <w:t xml:space="preserve"> la</w:t>
            </w:r>
            <w:r w:rsidRPr="0061635A">
              <w:rPr>
                <w:rFonts w:asciiTheme="minorBidi" w:hAnsiTheme="minorBidi"/>
                <w:color w:val="231F20"/>
                <w:sz w:val="22"/>
                <w:szCs w:val="22"/>
              </w:rPr>
              <w:t xml:space="preserve"> ejecución</w:t>
            </w:r>
            <w:r w:rsidR="005E1D7C">
              <w:rPr>
                <w:rFonts w:asciiTheme="minorBidi" w:hAnsiTheme="minorBidi"/>
                <w:color w:val="231F20"/>
                <w:sz w:val="22"/>
                <w:szCs w:val="22"/>
              </w:rPr>
              <w:t>,</w:t>
            </w:r>
            <w:r w:rsidRPr="0061635A">
              <w:rPr>
                <w:rFonts w:asciiTheme="minorBidi" w:hAnsiTheme="minorBidi"/>
                <w:color w:val="231F20"/>
                <w:sz w:val="22"/>
                <w:szCs w:val="22"/>
              </w:rPr>
              <w:t xml:space="preserve"> y la comunidad, el </w:t>
            </w:r>
            <w:r w:rsidRPr="0061635A">
              <w:rPr>
                <w:rFonts w:asciiTheme="minorBidi" w:hAnsiTheme="minorBidi"/>
                <w:color w:val="231F20"/>
                <w:sz w:val="22"/>
                <w:szCs w:val="22"/>
              </w:rPr>
              <w:lastRenderedPageBreak/>
              <w:t xml:space="preserve">grupo o, </w:t>
            </w:r>
            <w:r w:rsidR="005E1D7C">
              <w:rPr>
                <w:rFonts w:asciiTheme="minorBidi" w:hAnsiTheme="minorBidi"/>
                <w:color w:val="231F20"/>
                <w:sz w:val="22"/>
                <w:szCs w:val="22"/>
              </w:rPr>
              <w:t>si procede</w:t>
            </w:r>
            <w:r w:rsidRPr="0061635A">
              <w:rPr>
                <w:rFonts w:asciiTheme="minorBidi" w:hAnsiTheme="minorBidi"/>
                <w:color w:val="231F20"/>
                <w:sz w:val="22"/>
                <w:szCs w:val="22"/>
              </w:rPr>
              <w:t>, l</w:t>
            </w:r>
            <w:r w:rsidR="005E1D7C">
              <w:rPr>
                <w:rFonts w:asciiTheme="minorBidi" w:hAnsiTheme="minorBidi"/>
                <w:color w:val="231F20"/>
                <w:sz w:val="22"/>
                <w:szCs w:val="22"/>
              </w:rPr>
              <w:t>o</w:t>
            </w:r>
            <w:r w:rsidRPr="0061635A">
              <w:rPr>
                <w:rFonts w:asciiTheme="minorBidi" w:hAnsiTheme="minorBidi"/>
                <w:color w:val="231F20"/>
                <w:sz w:val="22"/>
                <w:szCs w:val="22"/>
              </w:rPr>
              <w:t xml:space="preserve">s </w:t>
            </w:r>
            <w:r w:rsidR="005E1D7C">
              <w:rPr>
                <w:rFonts w:asciiTheme="minorBidi" w:hAnsiTheme="minorBidi"/>
                <w:color w:val="231F20"/>
                <w:sz w:val="22"/>
                <w:szCs w:val="22"/>
              </w:rPr>
              <w:t xml:space="preserve">individuos </w:t>
            </w:r>
            <w:r w:rsidRPr="0061635A">
              <w:rPr>
                <w:rFonts w:asciiTheme="minorBidi" w:hAnsiTheme="minorBidi"/>
                <w:color w:val="231F20"/>
                <w:sz w:val="22"/>
                <w:szCs w:val="22"/>
              </w:rPr>
              <w:t>interesad</w:t>
            </w:r>
            <w:r w:rsidR="005E1D7C">
              <w:rPr>
                <w:rFonts w:asciiTheme="minorBidi" w:hAnsiTheme="minorBidi"/>
                <w:color w:val="231F20"/>
                <w:sz w:val="22"/>
                <w:szCs w:val="22"/>
              </w:rPr>
              <w:t>o</w:t>
            </w:r>
            <w:r w:rsidRPr="0061635A">
              <w:rPr>
                <w:rFonts w:asciiTheme="minorBidi" w:hAnsiTheme="minorBidi"/>
                <w:color w:val="231F20"/>
                <w:sz w:val="22"/>
                <w:szCs w:val="22"/>
              </w:rPr>
              <w:t>s están dispuestos a cooperar en la difusión de prácticas</w:t>
            </w:r>
            <w:r w:rsidR="005E1D7C">
              <w:rPr>
                <w:rFonts w:asciiTheme="minorBidi" w:hAnsiTheme="minorBidi"/>
                <w:color w:val="231F20"/>
                <w:sz w:val="22"/>
                <w:szCs w:val="22"/>
              </w:rPr>
              <w:t xml:space="preserve"> ejemplares</w:t>
            </w:r>
            <w:r w:rsidRPr="0061635A">
              <w:rPr>
                <w:rFonts w:asciiTheme="minorBidi" w:hAnsiTheme="minorBidi"/>
                <w:color w:val="231F20"/>
                <w:sz w:val="22"/>
                <w:szCs w:val="22"/>
              </w:rPr>
              <w:t>, si s</w:t>
            </w:r>
            <w:r w:rsidR="005E1D7C">
              <w:rPr>
                <w:rFonts w:asciiTheme="minorBidi" w:hAnsiTheme="minorBidi"/>
                <w:color w:val="231F20"/>
                <w:sz w:val="22"/>
                <w:szCs w:val="22"/>
              </w:rPr>
              <w:t>e selecciona s</w:t>
            </w:r>
            <w:r w:rsidRPr="0061635A">
              <w:rPr>
                <w:rFonts w:asciiTheme="minorBidi" w:hAnsiTheme="minorBidi"/>
                <w:color w:val="231F20"/>
                <w:sz w:val="22"/>
                <w:szCs w:val="22"/>
              </w:rPr>
              <w:t xml:space="preserve">u programa, proyecto o actividad. </w:t>
            </w:r>
          </w:p>
          <w:p w14:paraId="247CFB56" w14:textId="41F070CA" w:rsidR="00D57F7C" w:rsidRPr="0061635A" w:rsidRDefault="00D57F7C" w:rsidP="006F3E09">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color w:val="231F20"/>
                <w:sz w:val="22"/>
                <w:szCs w:val="22"/>
              </w:rPr>
              <w:t xml:space="preserve">P.8 El programa, proyecto o actividad </w:t>
            </w:r>
            <w:r w:rsidR="005E1D7C">
              <w:rPr>
                <w:rFonts w:asciiTheme="minorBidi" w:hAnsiTheme="minorBidi"/>
                <w:color w:val="231F20"/>
                <w:sz w:val="22"/>
                <w:szCs w:val="22"/>
              </w:rPr>
              <w:t>comprende</w:t>
            </w:r>
            <w:r w:rsidR="005E1D7C" w:rsidRPr="0061635A">
              <w:rPr>
                <w:rFonts w:asciiTheme="minorBidi" w:hAnsiTheme="minorBidi"/>
                <w:color w:val="231F20"/>
                <w:sz w:val="22"/>
                <w:szCs w:val="22"/>
              </w:rPr>
              <w:t xml:space="preserve"> </w:t>
            </w:r>
            <w:r w:rsidRPr="0061635A">
              <w:rPr>
                <w:rFonts w:asciiTheme="minorBidi" w:hAnsiTheme="minorBidi"/>
                <w:color w:val="231F20"/>
                <w:sz w:val="22"/>
                <w:szCs w:val="22"/>
              </w:rPr>
              <w:t xml:space="preserve">experiencias </w:t>
            </w:r>
            <w:r w:rsidR="005E1D7C">
              <w:rPr>
                <w:rFonts w:asciiTheme="minorBidi" w:hAnsiTheme="minorBidi"/>
                <w:color w:val="231F20"/>
                <w:sz w:val="22"/>
                <w:szCs w:val="22"/>
              </w:rPr>
              <w:t xml:space="preserve">cuyos resultados podrían ser objeto de </w:t>
            </w:r>
            <w:r w:rsidRPr="0061635A">
              <w:rPr>
                <w:rFonts w:asciiTheme="minorBidi" w:hAnsiTheme="minorBidi"/>
                <w:color w:val="231F20"/>
                <w:sz w:val="22"/>
                <w:szCs w:val="22"/>
              </w:rPr>
              <w:t>evaluación.</w:t>
            </w:r>
          </w:p>
        </w:tc>
        <w:tc>
          <w:tcPr>
            <w:tcW w:w="567" w:type="dxa"/>
          </w:tcPr>
          <w:p w14:paraId="69C2E5B6" w14:textId="77777777" w:rsidR="00D57F7C" w:rsidRPr="0061635A" w:rsidRDefault="00D57F7C" w:rsidP="006F3E09">
            <w:pPr>
              <w:spacing w:before="60" w:after="60"/>
              <w:rPr>
                <w:rFonts w:asciiTheme="minorBidi" w:hAnsiTheme="minorBidi" w:cstheme="minorBidi"/>
                <w:sz w:val="22"/>
                <w:szCs w:val="22"/>
              </w:rPr>
            </w:pPr>
            <w:r w:rsidRPr="0061635A">
              <w:rPr>
                <w:rFonts w:asciiTheme="minorBidi" w:hAnsiTheme="minorBidi"/>
                <w:sz w:val="22"/>
                <w:szCs w:val="22"/>
              </w:rPr>
              <w:lastRenderedPageBreak/>
              <w:t>7.</w:t>
            </w:r>
          </w:p>
        </w:tc>
        <w:tc>
          <w:tcPr>
            <w:tcW w:w="6662" w:type="dxa"/>
          </w:tcPr>
          <w:p w14:paraId="04C89A83" w14:textId="58ECC8E2" w:rsidR="004413A4" w:rsidRPr="0061635A" w:rsidRDefault="00D11ABD" w:rsidP="006F3E09">
            <w:pPr>
              <w:spacing w:before="60" w:after="60"/>
              <w:rPr>
                <w:rFonts w:asciiTheme="minorBidi" w:eastAsia="Calibri" w:hAnsiTheme="minorBidi" w:cstheme="minorBidi"/>
                <w:color w:val="231F20"/>
                <w:sz w:val="22"/>
                <w:szCs w:val="22"/>
              </w:rPr>
            </w:pPr>
            <w:r w:rsidRPr="004413A4">
              <w:rPr>
                <w:rFonts w:asciiTheme="minorBidi" w:hAnsiTheme="minorBidi"/>
                <w:color w:val="231F20"/>
                <w:sz w:val="22"/>
                <w:szCs w:val="22"/>
              </w:rPr>
              <w:t xml:space="preserve">El Comité seleccionará los programas, proyectos y actividades </w:t>
            </w:r>
            <w:r w:rsidRPr="00D11ABD">
              <w:rPr>
                <w:rFonts w:asciiTheme="minorBidi" w:hAnsiTheme="minorBidi"/>
                <w:color w:val="231F20"/>
                <w:sz w:val="22"/>
                <w:szCs w:val="22"/>
              </w:rPr>
              <w:t xml:space="preserve">propuestos que </w:t>
            </w:r>
            <w:r w:rsidRPr="0061635A">
              <w:rPr>
                <w:rFonts w:asciiTheme="minorBidi" w:hAnsiTheme="minorBidi"/>
                <w:strike/>
                <w:color w:val="231F20"/>
                <w:sz w:val="22"/>
                <w:szCs w:val="22"/>
              </w:rPr>
              <w:t>mejor</w:t>
            </w:r>
            <w:r w:rsidRPr="00D11ABD">
              <w:rPr>
                <w:rFonts w:asciiTheme="minorBidi" w:hAnsiTheme="minorBidi"/>
                <w:color w:val="231F20"/>
                <w:sz w:val="22"/>
                <w:szCs w:val="22"/>
              </w:rPr>
              <w:t xml:space="preserve"> se ajuste</w:t>
            </w:r>
            <w:r w:rsidRPr="004413A4">
              <w:rPr>
                <w:rFonts w:asciiTheme="minorBidi" w:hAnsiTheme="minorBidi"/>
                <w:color w:val="231F20"/>
                <w:sz w:val="22"/>
                <w:szCs w:val="22"/>
              </w:rPr>
              <w:t>n a todos los criterios enumerados a continuación:</w:t>
            </w:r>
          </w:p>
          <w:p w14:paraId="3E83FB34" w14:textId="5B0D67C4" w:rsidR="006307FB" w:rsidRPr="006F3E09" w:rsidRDefault="006307FB" w:rsidP="006307FB">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strike/>
                <w:color w:val="231F20"/>
                <w:sz w:val="22"/>
                <w:szCs w:val="22"/>
              </w:rPr>
              <w:t>P.1</w:t>
            </w:r>
            <w:r w:rsidRPr="006F3E09">
              <w:rPr>
                <w:rFonts w:asciiTheme="minorBidi" w:hAnsiTheme="minorBidi"/>
                <w:color w:val="231F20"/>
                <w:sz w:val="22"/>
                <w:szCs w:val="22"/>
              </w:rPr>
              <w:t xml:space="preserve"> </w:t>
            </w:r>
            <w:r w:rsidRPr="0061635A">
              <w:rPr>
                <w:rFonts w:asciiTheme="minorBidi" w:hAnsiTheme="minorBidi"/>
                <w:color w:val="231F20"/>
                <w:sz w:val="22"/>
                <w:szCs w:val="22"/>
                <w:u w:val="single"/>
              </w:rPr>
              <w:t>G.1</w:t>
            </w:r>
            <w:r>
              <w:rPr>
                <w:rFonts w:asciiTheme="minorBidi" w:hAnsiTheme="minorBidi"/>
                <w:color w:val="231F20"/>
                <w:sz w:val="22"/>
                <w:szCs w:val="22"/>
              </w:rPr>
              <w:t xml:space="preserve"> </w:t>
            </w:r>
            <w:r w:rsidRPr="006F3E09">
              <w:rPr>
                <w:rFonts w:asciiTheme="minorBidi" w:hAnsiTheme="minorBidi"/>
                <w:color w:val="231F20"/>
                <w:sz w:val="22"/>
                <w:szCs w:val="22"/>
              </w:rPr>
              <w:t xml:space="preserve">El programa, proyecto o actividad </w:t>
            </w:r>
            <w:r>
              <w:rPr>
                <w:rFonts w:asciiTheme="minorBidi" w:hAnsiTheme="minorBidi"/>
                <w:color w:val="231F20"/>
                <w:sz w:val="22"/>
                <w:szCs w:val="22"/>
              </w:rPr>
              <w:t>implica una</w:t>
            </w:r>
            <w:r w:rsidR="00D11ABD">
              <w:rPr>
                <w:rFonts w:asciiTheme="minorBidi" w:hAnsiTheme="minorBidi"/>
                <w:color w:val="231F20"/>
                <w:sz w:val="22"/>
                <w:szCs w:val="22"/>
              </w:rPr>
              <w:t xml:space="preserve"> </w:t>
            </w:r>
            <w:r w:rsidRPr="006F3E09">
              <w:rPr>
                <w:rFonts w:asciiTheme="minorBidi" w:hAnsiTheme="minorBidi"/>
                <w:color w:val="231F20"/>
                <w:sz w:val="22"/>
                <w:szCs w:val="22"/>
              </w:rPr>
              <w:t>salvaguardia, tal como se define en el artículo 2.3 de la</w:t>
            </w:r>
            <w:r w:rsidR="00D11ABD">
              <w:rPr>
                <w:rFonts w:asciiTheme="minorBidi" w:hAnsiTheme="minorBidi"/>
                <w:color w:val="231F20"/>
                <w:sz w:val="22"/>
                <w:szCs w:val="22"/>
              </w:rPr>
              <w:t xml:space="preserve"> </w:t>
            </w:r>
            <w:r w:rsidRPr="006F3E09">
              <w:rPr>
                <w:rFonts w:asciiTheme="minorBidi" w:hAnsiTheme="minorBidi"/>
                <w:color w:val="231F20"/>
                <w:sz w:val="22"/>
                <w:szCs w:val="22"/>
              </w:rPr>
              <w:t>Convenció</w:t>
            </w:r>
            <w:r w:rsidRPr="00D11ABD">
              <w:rPr>
                <w:rFonts w:asciiTheme="minorBidi" w:hAnsiTheme="minorBidi"/>
                <w:color w:val="231F20"/>
                <w:sz w:val="22"/>
                <w:szCs w:val="22"/>
              </w:rPr>
              <w:t>n</w:t>
            </w:r>
            <w:r w:rsidR="00D11ABD" w:rsidRPr="00D11ABD">
              <w:rPr>
                <w:rFonts w:asciiTheme="minorBidi" w:hAnsiTheme="minorBidi"/>
                <w:color w:val="231F20"/>
                <w:sz w:val="22"/>
                <w:szCs w:val="22"/>
              </w:rPr>
              <w:t>,</w:t>
            </w:r>
            <w:r w:rsidR="00D11ABD" w:rsidRPr="0061635A">
              <w:rPr>
                <w:rFonts w:asciiTheme="minorBidi" w:hAnsiTheme="minorBidi"/>
                <w:sz w:val="22"/>
                <w:szCs w:val="22"/>
                <w:u w:val="single"/>
              </w:rPr>
              <w:t xml:space="preserve"> reflejando los principios y objetivos de la Convención</w:t>
            </w:r>
            <w:r w:rsidRPr="00D11ABD">
              <w:rPr>
                <w:rFonts w:asciiTheme="minorBidi" w:hAnsiTheme="minorBidi"/>
                <w:color w:val="231F20"/>
                <w:sz w:val="22"/>
                <w:szCs w:val="22"/>
              </w:rPr>
              <w:t>.</w:t>
            </w:r>
          </w:p>
          <w:p w14:paraId="18A09BF9" w14:textId="77777777" w:rsidR="0015781C" w:rsidRPr="0061635A" w:rsidRDefault="0015781C" w:rsidP="0015781C">
            <w:pPr>
              <w:widowControl w:val="0"/>
              <w:tabs>
                <w:tab w:val="left" w:pos="2127"/>
                <w:tab w:val="left" w:pos="2176"/>
              </w:tabs>
              <w:autoSpaceDE w:val="0"/>
              <w:autoSpaceDN w:val="0"/>
              <w:spacing w:before="60" w:after="60"/>
              <w:rPr>
                <w:rFonts w:asciiTheme="minorBidi" w:eastAsia="Calibri" w:hAnsiTheme="minorBidi" w:cstheme="minorBidi"/>
                <w:strike/>
                <w:color w:val="231F20"/>
                <w:sz w:val="22"/>
                <w:szCs w:val="22"/>
              </w:rPr>
            </w:pPr>
            <w:r w:rsidRPr="0061635A">
              <w:rPr>
                <w:rFonts w:asciiTheme="minorBidi" w:hAnsiTheme="minorBidi"/>
                <w:strike/>
                <w:color w:val="231F20"/>
                <w:sz w:val="22"/>
                <w:szCs w:val="22"/>
              </w:rPr>
              <w:t xml:space="preserve">P.2 El programa, proyecto o actividad promueve la coordinación de los esfuerzos encaminados a salvaguardar el patrimonio cultural inmaterial en el ámbito regional, subregional y/o internacional. </w:t>
            </w:r>
          </w:p>
          <w:p w14:paraId="372BFC7B" w14:textId="77777777" w:rsidR="00D57F7C" w:rsidRPr="004413A4" w:rsidRDefault="00D57F7C" w:rsidP="006F3E09">
            <w:pPr>
              <w:pStyle w:val="Corpsdetexte"/>
              <w:rPr>
                <w:rFonts w:asciiTheme="minorBidi" w:hAnsiTheme="minorBidi" w:cstheme="minorBidi"/>
                <w:strike/>
                <w:sz w:val="22"/>
              </w:rPr>
            </w:pPr>
            <w:r w:rsidRPr="0061635A">
              <w:rPr>
                <w:rFonts w:asciiTheme="minorBidi" w:hAnsiTheme="minorBidi"/>
                <w:strike/>
                <w:sz w:val="22"/>
              </w:rPr>
              <w:t>P.3 El programa, proyecto o actividad refleja los principios y objetivos de la Convención.</w:t>
            </w:r>
            <w:r w:rsidRPr="004413A4">
              <w:rPr>
                <w:rFonts w:asciiTheme="minorBidi" w:hAnsiTheme="minorBidi"/>
                <w:strike/>
                <w:sz w:val="22"/>
              </w:rPr>
              <w:t xml:space="preserve"> </w:t>
            </w:r>
          </w:p>
          <w:p w14:paraId="7C27AFC1" w14:textId="3A0E841D" w:rsidR="00425FC0" w:rsidRPr="006F3E09" w:rsidRDefault="00425FC0" w:rsidP="00425FC0">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strike/>
                <w:color w:val="231F20"/>
                <w:sz w:val="22"/>
                <w:szCs w:val="22"/>
              </w:rPr>
              <w:t>P.4</w:t>
            </w:r>
            <w:r w:rsidRPr="006F3E09">
              <w:rPr>
                <w:rFonts w:asciiTheme="minorBidi" w:hAnsiTheme="minorBidi"/>
                <w:color w:val="231F20"/>
                <w:sz w:val="22"/>
                <w:szCs w:val="22"/>
              </w:rPr>
              <w:t xml:space="preserve"> </w:t>
            </w:r>
            <w:r w:rsidRPr="006F3E09">
              <w:rPr>
                <w:rFonts w:asciiTheme="minorBidi" w:hAnsiTheme="minorBidi"/>
                <w:color w:val="231F20"/>
                <w:sz w:val="22"/>
                <w:szCs w:val="22"/>
                <w:u w:val="single"/>
              </w:rPr>
              <w:t>G.</w:t>
            </w:r>
            <w:r>
              <w:rPr>
                <w:rFonts w:asciiTheme="minorBidi" w:hAnsiTheme="minorBidi"/>
                <w:color w:val="231F20"/>
                <w:sz w:val="22"/>
                <w:szCs w:val="22"/>
                <w:u w:val="single"/>
              </w:rPr>
              <w:t>2</w:t>
            </w:r>
            <w:r w:rsidRPr="00BF1E93">
              <w:rPr>
                <w:rFonts w:asciiTheme="minorBidi" w:hAnsiTheme="minorBidi"/>
                <w:color w:val="231F20"/>
                <w:sz w:val="22"/>
                <w:szCs w:val="22"/>
              </w:rPr>
              <w:t xml:space="preserve"> </w:t>
            </w:r>
            <w:r w:rsidRPr="006F3E09">
              <w:rPr>
                <w:rFonts w:asciiTheme="minorBidi" w:hAnsiTheme="minorBidi"/>
                <w:color w:val="231F20"/>
                <w:sz w:val="22"/>
                <w:szCs w:val="22"/>
              </w:rPr>
              <w:t>El programa, proyecto o actividad ha demostrado s</w:t>
            </w:r>
            <w:r>
              <w:rPr>
                <w:rFonts w:asciiTheme="minorBidi" w:hAnsiTheme="minorBidi"/>
                <w:color w:val="231F20"/>
                <w:sz w:val="22"/>
                <w:szCs w:val="22"/>
              </w:rPr>
              <w:t>er eficaz</w:t>
            </w:r>
            <w:r w:rsidRPr="006F3E09">
              <w:rPr>
                <w:rFonts w:asciiTheme="minorBidi" w:hAnsiTheme="minorBidi"/>
                <w:color w:val="231F20"/>
                <w:sz w:val="22"/>
                <w:szCs w:val="22"/>
              </w:rPr>
              <w:t xml:space="preserve"> para contribuir a la viabilidad del patrimonio cultural inmaterial </w:t>
            </w:r>
            <w:r>
              <w:rPr>
                <w:rFonts w:asciiTheme="minorBidi" w:hAnsiTheme="minorBidi"/>
                <w:color w:val="231F20"/>
                <w:sz w:val="22"/>
                <w:szCs w:val="22"/>
              </w:rPr>
              <w:t>de que se trate</w:t>
            </w:r>
            <w:r w:rsidRPr="006F3E09">
              <w:rPr>
                <w:rFonts w:asciiTheme="minorBidi" w:hAnsiTheme="minorBidi"/>
                <w:color w:val="231F20"/>
                <w:sz w:val="22"/>
                <w:szCs w:val="22"/>
              </w:rPr>
              <w:t xml:space="preserve">. </w:t>
            </w:r>
          </w:p>
          <w:p w14:paraId="5E5FEF02" w14:textId="3B4DE95C" w:rsidR="00BF1E93" w:rsidRPr="006F3E09" w:rsidRDefault="00BF1E93" w:rsidP="00BF1E93">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rPr>
            </w:pPr>
            <w:r w:rsidRPr="0061635A">
              <w:rPr>
                <w:rFonts w:asciiTheme="minorBidi" w:hAnsiTheme="minorBidi"/>
                <w:strike/>
                <w:color w:val="231F20"/>
                <w:sz w:val="22"/>
                <w:szCs w:val="22"/>
              </w:rPr>
              <w:t>P.5</w:t>
            </w:r>
            <w:r w:rsidRPr="00BF1E93">
              <w:rPr>
                <w:rFonts w:asciiTheme="minorBidi" w:hAnsiTheme="minorBidi"/>
                <w:color w:val="231F20"/>
                <w:sz w:val="22"/>
                <w:szCs w:val="22"/>
              </w:rPr>
              <w:t xml:space="preserve"> </w:t>
            </w:r>
            <w:r w:rsidRPr="0061635A">
              <w:rPr>
                <w:rFonts w:asciiTheme="minorBidi" w:hAnsiTheme="minorBidi"/>
                <w:color w:val="231F20"/>
                <w:sz w:val="22"/>
                <w:szCs w:val="22"/>
                <w:u w:val="single"/>
              </w:rPr>
              <w:t>G.3</w:t>
            </w:r>
            <w:r w:rsidRPr="00BF1E93">
              <w:rPr>
                <w:rFonts w:asciiTheme="minorBidi" w:hAnsiTheme="minorBidi"/>
                <w:color w:val="231F20"/>
                <w:sz w:val="22"/>
                <w:szCs w:val="22"/>
              </w:rPr>
              <w:t xml:space="preserve"> El</w:t>
            </w:r>
            <w:r w:rsidRPr="006F3E09">
              <w:rPr>
                <w:rFonts w:asciiTheme="minorBidi" w:hAnsiTheme="minorBidi"/>
                <w:color w:val="231F20"/>
                <w:sz w:val="22"/>
                <w:szCs w:val="22"/>
              </w:rPr>
              <w:t xml:space="preserve"> programa, proyecto o actividad </w:t>
            </w:r>
            <w:r>
              <w:rPr>
                <w:rFonts w:asciiTheme="minorBidi" w:hAnsiTheme="minorBidi"/>
                <w:color w:val="231F20"/>
                <w:sz w:val="22"/>
                <w:szCs w:val="22"/>
              </w:rPr>
              <w:t xml:space="preserve">es o ha sido </w:t>
            </w:r>
            <w:r w:rsidRPr="006F3E09">
              <w:rPr>
                <w:rFonts w:asciiTheme="minorBidi" w:hAnsiTheme="minorBidi"/>
                <w:color w:val="231F20"/>
                <w:sz w:val="22"/>
                <w:szCs w:val="22"/>
              </w:rPr>
              <w:t>ejecuta</w:t>
            </w:r>
            <w:r>
              <w:rPr>
                <w:rFonts w:asciiTheme="minorBidi" w:hAnsiTheme="minorBidi"/>
                <w:color w:val="231F20"/>
                <w:sz w:val="22"/>
                <w:szCs w:val="22"/>
              </w:rPr>
              <w:t>do</w:t>
            </w:r>
            <w:r w:rsidRPr="006F3E09">
              <w:rPr>
                <w:rFonts w:asciiTheme="minorBidi" w:hAnsiTheme="minorBidi"/>
                <w:color w:val="231F20"/>
                <w:sz w:val="22"/>
                <w:szCs w:val="22"/>
              </w:rPr>
              <w:t xml:space="preserve"> con la participación de la comunidad, el grupo o, </w:t>
            </w:r>
            <w:r>
              <w:rPr>
                <w:rFonts w:asciiTheme="minorBidi" w:hAnsiTheme="minorBidi"/>
                <w:color w:val="231F20"/>
                <w:sz w:val="22"/>
                <w:szCs w:val="22"/>
              </w:rPr>
              <w:t>si procede</w:t>
            </w:r>
            <w:r w:rsidRPr="006F3E09">
              <w:rPr>
                <w:rFonts w:asciiTheme="minorBidi" w:hAnsiTheme="minorBidi"/>
                <w:color w:val="231F20"/>
                <w:sz w:val="22"/>
                <w:szCs w:val="22"/>
              </w:rPr>
              <w:t>, l</w:t>
            </w:r>
            <w:r>
              <w:rPr>
                <w:rFonts w:asciiTheme="minorBidi" w:hAnsiTheme="minorBidi"/>
                <w:color w:val="231F20"/>
                <w:sz w:val="22"/>
                <w:szCs w:val="22"/>
              </w:rPr>
              <w:t>o</w:t>
            </w:r>
            <w:r w:rsidRPr="006F3E09">
              <w:rPr>
                <w:rFonts w:asciiTheme="minorBidi" w:hAnsiTheme="minorBidi"/>
                <w:color w:val="231F20"/>
                <w:sz w:val="22"/>
                <w:szCs w:val="22"/>
              </w:rPr>
              <w:t xml:space="preserve">s </w:t>
            </w:r>
            <w:r>
              <w:rPr>
                <w:rFonts w:asciiTheme="minorBidi" w:hAnsiTheme="minorBidi"/>
                <w:color w:val="231F20"/>
                <w:sz w:val="22"/>
                <w:szCs w:val="22"/>
              </w:rPr>
              <w:t>individuos</w:t>
            </w:r>
            <w:r w:rsidRPr="006F3E09">
              <w:rPr>
                <w:rFonts w:asciiTheme="minorBidi" w:hAnsiTheme="minorBidi"/>
                <w:color w:val="231F20"/>
                <w:sz w:val="22"/>
                <w:szCs w:val="22"/>
              </w:rPr>
              <w:t xml:space="preserve"> interesad</w:t>
            </w:r>
            <w:r>
              <w:rPr>
                <w:rFonts w:asciiTheme="minorBidi" w:hAnsiTheme="minorBidi"/>
                <w:color w:val="231F20"/>
                <w:sz w:val="22"/>
                <w:szCs w:val="22"/>
              </w:rPr>
              <w:t>o</w:t>
            </w:r>
            <w:r w:rsidRPr="006F3E09">
              <w:rPr>
                <w:rFonts w:asciiTheme="minorBidi" w:hAnsiTheme="minorBidi"/>
                <w:color w:val="231F20"/>
                <w:sz w:val="22"/>
                <w:szCs w:val="22"/>
              </w:rPr>
              <w:t>s</w:t>
            </w:r>
            <w:r>
              <w:rPr>
                <w:rFonts w:asciiTheme="minorBidi" w:hAnsiTheme="minorBidi"/>
                <w:color w:val="231F20"/>
                <w:sz w:val="22"/>
                <w:szCs w:val="22"/>
              </w:rPr>
              <w:t>,</w:t>
            </w:r>
            <w:r w:rsidRPr="006F3E09">
              <w:rPr>
                <w:rFonts w:asciiTheme="minorBidi" w:hAnsiTheme="minorBidi"/>
                <w:color w:val="231F20"/>
                <w:sz w:val="22"/>
                <w:szCs w:val="22"/>
              </w:rPr>
              <w:t xml:space="preserve"> y con su consentimiento libre, previo</w:t>
            </w:r>
            <w:r w:rsidRPr="0061635A">
              <w:rPr>
                <w:rFonts w:asciiTheme="minorBidi" w:hAnsiTheme="minorBidi"/>
                <w:color w:val="231F20"/>
                <w:sz w:val="22"/>
                <w:szCs w:val="22"/>
                <w:u w:val="single"/>
              </w:rPr>
              <w:t xml:space="preserve">, </w:t>
            </w:r>
            <w:r w:rsidR="00064BC5">
              <w:rPr>
                <w:rFonts w:asciiTheme="minorBidi" w:hAnsiTheme="minorBidi"/>
                <w:color w:val="231F20"/>
                <w:sz w:val="22"/>
                <w:szCs w:val="22"/>
                <w:u w:val="single"/>
              </w:rPr>
              <w:t>continuo</w:t>
            </w:r>
            <w:r w:rsidRPr="006F3E09">
              <w:rPr>
                <w:rFonts w:asciiTheme="minorBidi" w:hAnsiTheme="minorBidi"/>
                <w:color w:val="231F20"/>
                <w:sz w:val="22"/>
                <w:szCs w:val="22"/>
              </w:rPr>
              <w:t xml:space="preserve"> e informado. </w:t>
            </w:r>
          </w:p>
          <w:p w14:paraId="6EB3A146" w14:textId="24B42EC8" w:rsidR="00BF1E93" w:rsidRDefault="00BF1E93" w:rsidP="0061635A">
            <w:pPr>
              <w:widowControl w:val="0"/>
              <w:tabs>
                <w:tab w:val="left" w:pos="2127"/>
                <w:tab w:val="left" w:pos="2176"/>
              </w:tabs>
              <w:autoSpaceDE w:val="0"/>
              <w:autoSpaceDN w:val="0"/>
              <w:spacing w:before="60" w:after="60"/>
              <w:rPr>
                <w:rFonts w:asciiTheme="minorBidi" w:hAnsiTheme="minorBidi"/>
                <w:strike/>
                <w:sz w:val="22"/>
              </w:rPr>
            </w:pPr>
            <w:r w:rsidRPr="0061635A">
              <w:rPr>
                <w:rFonts w:asciiTheme="minorBidi" w:hAnsiTheme="minorBidi" w:cs="Times New Roman"/>
                <w:strike/>
                <w:color w:val="231F20"/>
                <w:sz w:val="22"/>
                <w:szCs w:val="22"/>
                <w:lang w:eastAsia="fr-FR"/>
              </w:rPr>
              <w:t xml:space="preserve">P.6 El programa, proyecto o actividad podría servir de modelo subregional, regional o internacional, según el caso, para actividades de salvaguardia. </w:t>
            </w:r>
          </w:p>
          <w:p w14:paraId="08003FED" w14:textId="3F1F4AAC" w:rsidR="00E235C4" w:rsidRPr="006F3E09" w:rsidRDefault="00E235C4" w:rsidP="00E235C4">
            <w:pPr>
              <w:widowControl w:val="0"/>
              <w:tabs>
                <w:tab w:val="left" w:pos="2127"/>
                <w:tab w:val="left" w:pos="2176"/>
              </w:tabs>
              <w:autoSpaceDE w:val="0"/>
              <w:autoSpaceDN w:val="0"/>
              <w:spacing w:before="60" w:after="60"/>
              <w:rPr>
                <w:rFonts w:asciiTheme="minorBidi" w:eastAsia="Calibri" w:hAnsiTheme="minorBidi" w:cstheme="minorBidi"/>
                <w:color w:val="231F20"/>
                <w:sz w:val="22"/>
                <w:szCs w:val="22"/>
                <w:highlight w:val="lightGray"/>
              </w:rPr>
            </w:pPr>
            <w:r w:rsidRPr="0061635A">
              <w:rPr>
                <w:rFonts w:asciiTheme="minorBidi" w:hAnsiTheme="minorBidi"/>
                <w:strike/>
                <w:color w:val="231F20"/>
                <w:sz w:val="22"/>
                <w:szCs w:val="22"/>
              </w:rPr>
              <w:lastRenderedPageBreak/>
              <w:t>P.7</w:t>
            </w:r>
            <w:r w:rsidR="00D11ABD" w:rsidRPr="0061635A">
              <w:rPr>
                <w:rFonts w:asciiTheme="minorBidi" w:hAnsiTheme="minorBidi"/>
                <w:color w:val="231F20"/>
                <w:sz w:val="22"/>
                <w:szCs w:val="22"/>
              </w:rPr>
              <w:t xml:space="preserve"> </w:t>
            </w:r>
            <w:r w:rsidRPr="0061635A">
              <w:rPr>
                <w:rFonts w:asciiTheme="minorBidi" w:hAnsiTheme="minorBidi"/>
                <w:color w:val="231F20"/>
                <w:sz w:val="22"/>
                <w:szCs w:val="22"/>
                <w:u w:val="single"/>
              </w:rPr>
              <w:t>G.4</w:t>
            </w:r>
            <w:r w:rsidRPr="006F3E09">
              <w:rPr>
                <w:rFonts w:asciiTheme="minorBidi" w:hAnsiTheme="minorBidi"/>
                <w:color w:val="231F20"/>
                <w:sz w:val="22"/>
                <w:szCs w:val="22"/>
              </w:rPr>
              <w:t xml:space="preserve"> El (Los) Estado(s) Parte(s) solicitante(s), el (los) organismo(s) </w:t>
            </w:r>
            <w:r>
              <w:rPr>
                <w:rFonts w:asciiTheme="minorBidi" w:hAnsiTheme="minorBidi"/>
                <w:color w:val="231F20"/>
                <w:sz w:val="22"/>
                <w:szCs w:val="22"/>
              </w:rPr>
              <w:t xml:space="preserve">encargado(s) </w:t>
            </w:r>
            <w:r w:rsidRPr="006F3E09">
              <w:rPr>
                <w:rFonts w:asciiTheme="minorBidi" w:hAnsiTheme="minorBidi"/>
                <w:color w:val="231F20"/>
                <w:sz w:val="22"/>
                <w:szCs w:val="22"/>
              </w:rPr>
              <w:t>de</w:t>
            </w:r>
            <w:r>
              <w:rPr>
                <w:rFonts w:asciiTheme="minorBidi" w:hAnsiTheme="minorBidi"/>
                <w:color w:val="231F20"/>
                <w:sz w:val="22"/>
                <w:szCs w:val="22"/>
              </w:rPr>
              <w:t xml:space="preserve"> la</w:t>
            </w:r>
            <w:r w:rsidRPr="006F3E09">
              <w:rPr>
                <w:rFonts w:asciiTheme="minorBidi" w:hAnsiTheme="minorBidi"/>
                <w:color w:val="231F20"/>
                <w:sz w:val="22"/>
                <w:szCs w:val="22"/>
              </w:rPr>
              <w:t xml:space="preserve"> ejecución</w:t>
            </w:r>
            <w:r>
              <w:rPr>
                <w:rFonts w:asciiTheme="minorBidi" w:hAnsiTheme="minorBidi"/>
                <w:color w:val="231F20"/>
                <w:sz w:val="22"/>
                <w:szCs w:val="22"/>
              </w:rPr>
              <w:t>,</w:t>
            </w:r>
            <w:r w:rsidRPr="006F3E09">
              <w:rPr>
                <w:rFonts w:asciiTheme="minorBidi" w:hAnsiTheme="minorBidi"/>
                <w:color w:val="231F20"/>
                <w:sz w:val="22"/>
                <w:szCs w:val="22"/>
              </w:rPr>
              <w:t xml:space="preserve"> y la comunidad, el grupo o, </w:t>
            </w:r>
            <w:r>
              <w:rPr>
                <w:rFonts w:asciiTheme="minorBidi" w:hAnsiTheme="minorBidi"/>
                <w:color w:val="231F20"/>
                <w:sz w:val="22"/>
                <w:szCs w:val="22"/>
              </w:rPr>
              <w:t>si procede</w:t>
            </w:r>
            <w:r w:rsidRPr="006F3E09">
              <w:rPr>
                <w:rFonts w:asciiTheme="minorBidi" w:hAnsiTheme="minorBidi"/>
                <w:color w:val="231F20"/>
                <w:sz w:val="22"/>
                <w:szCs w:val="22"/>
              </w:rPr>
              <w:t>, l</w:t>
            </w:r>
            <w:r>
              <w:rPr>
                <w:rFonts w:asciiTheme="minorBidi" w:hAnsiTheme="minorBidi"/>
                <w:color w:val="231F20"/>
                <w:sz w:val="22"/>
                <w:szCs w:val="22"/>
              </w:rPr>
              <w:t>o</w:t>
            </w:r>
            <w:r w:rsidRPr="006F3E09">
              <w:rPr>
                <w:rFonts w:asciiTheme="minorBidi" w:hAnsiTheme="minorBidi"/>
                <w:color w:val="231F20"/>
                <w:sz w:val="22"/>
                <w:szCs w:val="22"/>
              </w:rPr>
              <w:t xml:space="preserve">s </w:t>
            </w:r>
            <w:r>
              <w:rPr>
                <w:rFonts w:asciiTheme="minorBidi" w:hAnsiTheme="minorBidi"/>
                <w:color w:val="231F20"/>
                <w:sz w:val="22"/>
                <w:szCs w:val="22"/>
              </w:rPr>
              <w:t xml:space="preserve">individuos </w:t>
            </w:r>
            <w:r w:rsidRPr="006F3E09">
              <w:rPr>
                <w:rFonts w:asciiTheme="minorBidi" w:hAnsiTheme="minorBidi"/>
                <w:color w:val="231F20"/>
                <w:sz w:val="22"/>
                <w:szCs w:val="22"/>
              </w:rPr>
              <w:t>interesad</w:t>
            </w:r>
            <w:r>
              <w:rPr>
                <w:rFonts w:asciiTheme="minorBidi" w:hAnsiTheme="minorBidi"/>
                <w:color w:val="231F20"/>
                <w:sz w:val="22"/>
                <w:szCs w:val="22"/>
              </w:rPr>
              <w:t>o</w:t>
            </w:r>
            <w:r w:rsidRPr="006F3E09">
              <w:rPr>
                <w:rFonts w:asciiTheme="minorBidi" w:hAnsiTheme="minorBidi"/>
                <w:color w:val="231F20"/>
                <w:sz w:val="22"/>
                <w:szCs w:val="22"/>
              </w:rPr>
              <w:t xml:space="preserve">s están dispuestos </w:t>
            </w:r>
            <w:r>
              <w:rPr>
                <w:rFonts w:asciiTheme="minorBidi" w:hAnsiTheme="minorBidi"/>
                <w:color w:val="231F20"/>
                <w:sz w:val="22"/>
                <w:szCs w:val="22"/>
              </w:rPr>
              <w:t xml:space="preserve">a </w:t>
            </w:r>
            <w:r w:rsidRPr="0061635A">
              <w:rPr>
                <w:rFonts w:asciiTheme="minorBidi" w:hAnsiTheme="minorBidi"/>
                <w:color w:val="231F20"/>
                <w:sz w:val="22"/>
                <w:szCs w:val="22"/>
                <w:u w:val="single"/>
              </w:rPr>
              <w:t>coordinar y</w:t>
            </w:r>
            <w:r>
              <w:rPr>
                <w:rFonts w:asciiTheme="minorBidi" w:hAnsiTheme="minorBidi"/>
                <w:color w:val="231F20"/>
                <w:sz w:val="22"/>
                <w:szCs w:val="22"/>
              </w:rPr>
              <w:t xml:space="preserve"> </w:t>
            </w:r>
            <w:r w:rsidRPr="006F3E09">
              <w:rPr>
                <w:rFonts w:asciiTheme="minorBidi" w:hAnsiTheme="minorBidi"/>
                <w:color w:val="231F20"/>
                <w:sz w:val="22"/>
                <w:szCs w:val="22"/>
              </w:rPr>
              <w:t xml:space="preserve">cooperar en la difusión de </w:t>
            </w:r>
            <w:r w:rsidRPr="0061635A">
              <w:rPr>
                <w:rFonts w:asciiTheme="minorBidi" w:hAnsiTheme="minorBidi"/>
                <w:color w:val="231F20"/>
                <w:sz w:val="22"/>
                <w:szCs w:val="22"/>
                <w:u w:val="single"/>
              </w:rPr>
              <w:t>buenas</w:t>
            </w:r>
            <w:r>
              <w:rPr>
                <w:rFonts w:asciiTheme="minorBidi" w:hAnsiTheme="minorBidi"/>
                <w:color w:val="231F20"/>
                <w:sz w:val="22"/>
                <w:szCs w:val="22"/>
              </w:rPr>
              <w:t xml:space="preserve"> </w:t>
            </w:r>
            <w:r w:rsidRPr="006F3E09">
              <w:rPr>
                <w:rFonts w:asciiTheme="minorBidi" w:hAnsiTheme="minorBidi"/>
                <w:color w:val="231F20"/>
                <w:sz w:val="22"/>
                <w:szCs w:val="22"/>
              </w:rPr>
              <w:t>prácticas</w:t>
            </w:r>
            <w:r>
              <w:rPr>
                <w:rFonts w:asciiTheme="minorBidi" w:hAnsiTheme="minorBidi"/>
                <w:color w:val="231F20"/>
                <w:sz w:val="22"/>
                <w:szCs w:val="22"/>
              </w:rPr>
              <w:t xml:space="preserve"> </w:t>
            </w:r>
            <w:r w:rsidRPr="0061635A">
              <w:rPr>
                <w:rFonts w:asciiTheme="minorBidi" w:hAnsiTheme="minorBidi"/>
                <w:strike/>
                <w:color w:val="231F20"/>
                <w:sz w:val="22"/>
                <w:szCs w:val="22"/>
              </w:rPr>
              <w:t>ejemplares</w:t>
            </w:r>
            <w:r w:rsidRPr="006F3E09">
              <w:rPr>
                <w:rFonts w:asciiTheme="minorBidi" w:hAnsiTheme="minorBidi"/>
                <w:color w:val="231F20"/>
                <w:sz w:val="22"/>
                <w:szCs w:val="22"/>
              </w:rPr>
              <w:t>, si s</w:t>
            </w:r>
            <w:r>
              <w:rPr>
                <w:rFonts w:asciiTheme="minorBidi" w:hAnsiTheme="minorBidi"/>
                <w:color w:val="231F20"/>
                <w:sz w:val="22"/>
                <w:szCs w:val="22"/>
              </w:rPr>
              <w:t>e selecciona s</w:t>
            </w:r>
            <w:r w:rsidRPr="006F3E09">
              <w:rPr>
                <w:rFonts w:asciiTheme="minorBidi" w:hAnsiTheme="minorBidi"/>
                <w:color w:val="231F20"/>
                <w:sz w:val="22"/>
                <w:szCs w:val="22"/>
              </w:rPr>
              <w:t>u programa, proyecto o actividad.</w:t>
            </w:r>
            <w:r>
              <w:rPr>
                <w:rFonts w:asciiTheme="minorBidi" w:hAnsiTheme="minorBidi"/>
                <w:color w:val="231F20"/>
                <w:sz w:val="22"/>
                <w:szCs w:val="22"/>
              </w:rPr>
              <w:t xml:space="preserve"> </w:t>
            </w:r>
            <w:r w:rsidRPr="0061635A">
              <w:rPr>
                <w:rFonts w:asciiTheme="minorBidi" w:hAnsiTheme="minorBidi"/>
                <w:color w:val="231F20"/>
                <w:sz w:val="22"/>
                <w:szCs w:val="22"/>
                <w:u w:val="single"/>
              </w:rPr>
              <w:t>Estos p</w:t>
            </w:r>
            <w:r w:rsidRPr="0061635A">
              <w:rPr>
                <w:rFonts w:asciiTheme="minorBidi" w:hAnsiTheme="minorBidi"/>
                <w:sz w:val="22"/>
                <w:szCs w:val="22"/>
                <w:u w:val="single"/>
              </w:rPr>
              <w:t>ueden servir de fuente de inspiración a escala local, subregional, regional o internacional, según los casos, para las actividades de salvaguardia</w:t>
            </w:r>
            <w:r w:rsidRPr="0061635A">
              <w:rPr>
                <w:rFonts w:asciiTheme="minorBidi" w:hAnsiTheme="minorBidi"/>
                <w:sz w:val="22"/>
                <w:szCs w:val="22"/>
              </w:rPr>
              <w:t>.</w:t>
            </w:r>
            <w:r w:rsidRPr="0061635A">
              <w:rPr>
                <w:rFonts w:asciiTheme="minorBidi" w:hAnsiTheme="minorBidi"/>
                <w:color w:val="231F20"/>
                <w:sz w:val="22"/>
                <w:szCs w:val="22"/>
              </w:rPr>
              <w:t xml:space="preserve"> </w:t>
            </w:r>
          </w:p>
          <w:p w14:paraId="08242E86" w14:textId="183A765A" w:rsidR="00D57F7C" w:rsidRPr="0061635A" w:rsidRDefault="00E235C4" w:rsidP="006F3E09">
            <w:pPr>
              <w:spacing w:before="60" w:after="60"/>
              <w:rPr>
                <w:rFonts w:asciiTheme="minorBidi" w:hAnsiTheme="minorBidi" w:cstheme="minorBidi"/>
                <w:strike/>
                <w:sz w:val="22"/>
                <w:szCs w:val="22"/>
              </w:rPr>
            </w:pPr>
            <w:r w:rsidRPr="0061635A">
              <w:rPr>
                <w:rFonts w:asciiTheme="minorBidi" w:hAnsiTheme="minorBidi"/>
                <w:strike/>
                <w:color w:val="231F20"/>
                <w:sz w:val="22"/>
                <w:szCs w:val="22"/>
              </w:rPr>
              <w:t>P.8 El programa, proyecto o actividad comprende experiencias cuyos resultados podrían ser objeto de evaluación</w:t>
            </w:r>
            <w:r w:rsidRPr="006F3E09">
              <w:rPr>
                <w:rFonts w:asciiTheme="minorBidi" w:hAnsiTheme="minorBidi"/>
                <w:color w:val="231F20"/>
                <w:sz w:val="22"/>
                <w:szCs w:val="22"/>
              </w:rPr>
              <w:t>.</w:t>
            </w:r>
          </w:p>
        </w:tc>
      </w:tr>
    </w:tbl>
    <w:p w14:paraId="3A73D79A" w14:textId="77777777" w:rsidR="00D57F7C" w:rsidRDefault="00D57F7C" w:rsidP="00067631">
      <w:pPr>
        <w:spacing w:after="240"/>
      </w:pPr>
    </w:p>
    <w:p w14:paraId="2A9C84A0" w14:textId="63D9B452" w:rsidR="004571CA" w:rsidRPr="00067631" w:rsidRDefault="004571CA" w:rsidP="0061635A">
      <w:pPr>
        <w:pStyle w:val="Titre4"/>
        <w:ind w:left="567" w:hanging="567"/>
        <w:rPr>
          <w:rFonts w:asciiTheme="minorBidi" w:hAnsiTheme="minorBidi"/>
          <w:szCs w:val="22"/>
          <w:u w:val="single"/>
        </w:rPr>
      </w:pPr>
      <w:bookmarkStart w:id="7" w:name="_Presentación_de_expedientes"/>
      <w:bookmarkEnd w:id="7"/>
      <w:r w:rsidRPr="0061635A">
        <w:rPr>
          <w:u w:val="single"/>
        </w:rPr>
        <w:t>Presentación</w:t>
      </w:r>
      <w:r w:rsidRPr="004571CA">
        <w:rPr>
          <w:rFonts w:asciiTheme="minorBidi" w:hAnsiTheme="minorBidi"/>
          <w:szCs w:val="22"/>
          <w:u w:val="single"/>
        </w:rPr>
        <w:t xml:space="preserve"> de expedientes</w:t>
      </w:r>
    </w:p>
    <w:tbl>
      <w:tblPr>
        <w:tblStyle w:val="Grilledutableau2"/>
        <w:tblW w:w="14312" w:type="dxa"/>
        <w:tblLayout w:type="fixed"/>
        <w:tblLook w:val="04A0" w:firstRow="1" w:lastRow="0" w:firstColumn="1" w:lastColumn="0" w:noHBand="0" w:noVBand="1"/>
      </w:tblPr>
      <w:tblGrid>
        <w:gridCol w:w="564"/>
        <w:gridCol w:w="6536"/>
        <w:gridCol w:w="568"/>
        <w:gridCol w:w="6644"/>
      </w:tblGrid>
      <w:tr w:rsidR="008D2312" w:rsidRPr="004571CA" w14:paraId="7EFA9391" w14:textId="77777777" w:rsidTr="008D2312">
        <w:tc>
          <w:tcPr>
            <w:tcW w:w="7100" w:type="dxa"/>
            <w:gridSpan w:val="2"/>
            <w:shd w:val="clear" w:color="auto" w:fill="DBE5F1" w:themeFill="accent1" w:themeFillTint="33"/>
          </w:tcPr>
          <w:p w14:paraId="037AC914" w14:textId="2699868E" w:rsidR="008D2312" w:rsidRPr="008D2312" w:rsidRDefault="008D2312" w:rsidP="008D2312">
            <w:pPr>
              <w:keepNext/>
              <w:keepLines/>
              <w:spacing w:before="120" w:after="120"/>
              <w:jc w:val="center"/>
              <w:rPr>
                <w:rFonts w:asciiTheme="minorBidi" w:hAnsiTheme="minorBidi"/>
                <w:b/>
                <w:color w:val="1F4E79"/>
                <w:sz w:val="22"/>
                <w:szCs w:val="22"/>
              </w:rPr>
            </w:pPr>
            <w:r w:rsidRPr="0061635A">
              <w:rPr>
                <w:rFonts w:asciiTheme="minorBidi" w:hAnsiTheme="minorBidi"/>
                <w:b/>
                <w:sz w:val="22"/>
                <w:szCs w:val="22"/>
              </w:rPr>
              <w:t>Directrices Operativas (edición de 2022)</w:t>
            </w:r>
          </w:p>
        </w:tc>
        <w:tc>
          <w:tcPr>
            <w:tcW w:w="7212" w:type="dxa"/>
            <w:gridSpan w:val="2"/>
            <w:shd w:val="clear" w:color="auto" w:fill="95B3D7" w:themeFill="accent1" w:themeFillTint="99"/>
          </w:tcPr>
          <w:p w14:paraId="1CD3A8AC" w14:textId="6ACBB0DA" w:rsidR="008D2312" w:rsidRPr="008D2312" w:rsidRDefault="008D2312" w:rsidP="008D2312">
            <w:pPr>
              <w:keepNext/>
              <w:keepLines/>
              <w:spacing w:before="120" w:after="120"/>
              <w:jc w:val="center"/>
              <w:rPr>
                <w:rFonts w:asciiTheme="minorBidi" w:hAnsiTheme="minorBidi"/>
                <w:sz w:val="22"/>
                <w:szCs w:val="22"/>
              </w:rPr>
            </w:pPr>
            <w:r w:rsidRPr="0061635A">
              <w:rPr>
                <w:rFonts w:asciiTheme="minorBidi" w:hAnsiTheme="minorBidi"/>
                <w:b/>
                <w:sz w:val="22"/>
                <w:szCs w:val="22"/>
              </w:rPr>
              <w:t>Enmiendas propuestas</w:t>
            </w:r>
          </w:p>
        </w:tc>
      </w:tr>
      <w:tr w:rsidR="008D2312" w:rsidRPr="004571CA" w14:paraId="5F6E9BFC" w14:textId="77777777" w:rsidTr="008D2312">
        <w:tc>
          <w:tcPr>
            <w:tcW w:w="564" w:type="dxa"/>
            <w:shd w:val="clear" w:color="auto" w:fill="F2F2F2"/>
          </w:tcPr>
          <w:p w14:paraId="40766B1B" w14:textId="77777777" w:rsidR="008D2312" w:rsidRPr="0061635A" w:rsidRDefault="008D2312" w:rsidP="008D2312">
            <w:pPr>
              <w:keepNext/>
              <w:keepLines/>
              <w:spacing w:before="120" w:after="120"/>
              <w:rPr>
                <w:rFonts w:asciiTheme="minorBidi" w:hAnsiTheme="minorBidi" w:cstheme="minorBidi"/>
                <w:b/>
                <w:bCs/>
                <w:sz w:val="22"/>
                <w:szCs w:val="22"/>
              </w:rPr>
            </w:pPr>
            <w:r w:rsidRPr="0061635A">
              <w:rPr>
                <w:rFonts w:asciiTheme="minorBidi" w:hAnsiTheme="minorBidi"/>
                <w:b/>
                <w:color w:val="1F4E79"/>
                <w:sz w:val="22"/>
                <w:szCs w:val="22"/>
              </w:rPr>
              <w:t>I.7</w:t>
            </w:r>
          </w:p>
        </w:tc>
        <w:tc>
          <w:tcPr>
            <w:tcW w:w="6536" w:type="dxa"/>
            <w:shd w:val="clear" w:color="auto" w:fill="F2F2F2"/>
          </w:tcPr>
          <w:p w14:paraId="19F7CDF1" w14:textId="77777777" w:rsidR="008D2312" w:rsidRPr="0061635A" w:rsidRDefault="008D2312" w:rsidP="008D2312">
            <w:pPr>
              <w:keepNext/>
              <w:keepLines/>
              <w:spacing w:before="120" w:after="120"/>
              <w:rPr>
                <w:rFonts w:asciiTheme="minorBidi" w:hAnsiTheme="minorBidi" w:cstheme="minorBidi"/>
                <w:b/>
                <w:bCs/>
                <w:sz w:val="22"/>
                <w:szCs w:val="22"/>
              </w:rPr>
            </w:pPr>
            <w:r w:rsidRPr="0061635A">
              <w:rPr>
                <w:rFonts w:asciiTheme="minorBidi" w:hAnsiTheme="minorBidi"/>
                <w:b/>
                <w:color w:val="1F4E79"/>
                <w:sz w:val="22"/>
                <w:szCs w:val="22"/>
              </w:rPr>
              <w:t>Presentación de expedientes</w:t>
            </w:r>
          </w:p>
        </w:tc>
        <w:tc>
          <w:tcPr>
            <w:tcW w:w="568" w:type="dxa"/>
            <w:shd w:val="clear" w:color="auto" w:fill="F2F2F2"/>
          </w:tcPr>
          <w:p w14:paraId="52A455F0" w14:textId="77777777" w:rsidR="008D2312" w:rsidRPr="0061635A" w:rsidRDefault="008D2312" w:rsidP="008D2312">
            <w:pPr>
              <w:keepNext/>
              <w:keepLines/>
              <w:spacing w:before="120" w:after="120"/>
              <w:rPr>
                <w:rFonts w:asciiTheme="minorBidi" w:hAnsiTheme="minorBidi" w:cstheme="minorBidi"/>
                <w:b/>
                <w:bCs/>
                <w:sz w:val="22"/>
                <w:szCs w:val="22"/>
              </w:rPr>
            </w:pPr>
            <w:r w:rsidRPr="0061635A">
              <w:rPr>
                <w:rFonts w:asciiTheme="minorBidi" w:hAnsiTheme="minorBidi"/>
                <w:b/>
                <w:color w:val="1F4E79"/>
                <w:sz w:val="22"/>
                <w:szCs w:val="22"/>
              </w:rPr>
              <w:t>I.7</w:t>
            </w:r>
          </w:p>
        </w:tc>
        <w:tc>
          <w:tcPr>
            <w:tcW w:w="6644" w:type="dxa"/>
            <w:shd w:val="clear" w:color="auto" w:fill="F2F2F2"/>
          </w:tcPr>
          <w:p w14:paraId="0581CBA8" w14:textId="77777777" w:rsidR="008D2312" w:rsidRPr="0061635A" w:rsidRDefault="008D2312" w:rsidP="008D2312">
            <w:pPr>
              <w:keepNext/>
              <w:keepLines/>
              <w:spacing w:before="120" w:after="120"/>
              <w:rPr>
                <w:rFonts w:asciiTheme="minorBidi" w:hAnsiTheme="minorBidi" w:cstheme="minorBidi"/>
                <w:sz w:val="22"/>
                <w:szCs w:val="22"/>
              </w:rPr>
            </w:pPr>
            <w:r w:rsidRPr="0061635A">
              <w:rPr>
                <w:rFonts w:asciiTheme="minorBidi" w:hAnsiTheme="minorBidi"/>
                <w:sz w:val="22"/>
                <w:szCs w:val="22"/>
              </w:rPr>
              <w:t>[Sin cambio.]</w:t>
            </w:r>
          </w:p>
        </w:tc>
      </w:tr>
      <w:tr w:rsidR="008D2312" w:rsidRPr="004571CA" w14:paraId="16D239A7" w14:textId="77777777" w:rsidTr="008D2312">
        <w:tc>
          <w:tcPr>
            <w:tcW w:w="564" w:type="dxa"/>
          </w:tcPr>
          <w:p w14:paraId="3162F5FA" w14:textId="77777777" w:rsidR="008D2312" w:rsidRPr="0061635A" w:rsidRDefault="008D2312" w:rsidP="008D2312">
            <w:pPr>
              <w:keepLines/>
              <w:spacing w:before="120" w:after="60"/>
              <w:rPr>
                <w:rFonts w:asciiTheme="minorBidi" w:hAnsiTheme="minorBidi" w:cstheme="minorBidi"/>
                <w:sz w:val="22"/>
                <w:szCs w:val="22"/>
              </w:rPr>
            </w:pPr>
            <w:r w:rsidRPr="0061635A">
              <w:rPr>
                <w:rFonts w:asciiTheme="minorBidi" w:hAnsiTheme="minorBidi"/>
                <w:sz w:val="22"/>
                <w:szCs w:val="22"/>
              </w:rPr>
              <w:t>21.</w:t>
            </w:r>
          </w:p>
        </w:tc>
        <w:tc>
          <w:tcPr>
            <w:tcW w:w="6536" w:type="dxa"/>
          </w:tcPr>
          <w:p w14:paraId="3C835315" w14:textId="10B2B48A" w:rsidR="008D2312" w:rsidRPr="0061635A" w:rsidRDefault="008D2312" w:rsidP="008D2312">
            <w:pPr>
              <w:keepLines/>
              <w:snapToGrid w:val="0"/>
              <w:spacing w:before="120" w:after="120"/>
              <w:rPr>
                <w:rFonts w:asciiTheme="minorBidi" w:hAnsiTheme="minorBidi" w:cstheme="minorBidi"/>
                <w:sz w:val="22"/>
                <w:szCs w:val="22"/>
              </w:rPr>
            </w:pPr>
            <w:r w:rsidRPr="0061635A">
              <w:rPr>
                <w:rFonts w:asciiTheme="minorBidi" w:hAnsiTheme="minorBidi"/>
                <w:sz w:val="22"/>
                <w:szCs w:val="22"/>
              </w:rPr>
              <w:t xml:space="preserve">Los </w:t>
            </w:r>
            <w:proofErr w:type="gramStart"/>
            <w:r w:rsidRPr="0061635A">
              <w:rPr>
                <w:rFonts w:asciiTheme="minorBidi" w:hAnsiTheme="minorBidi"/>
                <w:sz w:val="22"/>
                <w:szCs w:val="22"/>
              </w:rPr>
              <w:t>Estados Partes</w:t>
            </w:r>
            <w:proofErr w:type="gramEnd"/>
            <w:r w:rsidRPr="0061635A">
              <w:rPr>
                <w:rFonts w:asciiTheme="minorBidi" w:hAnsiTheme="minorBidi"/>
                <w:sz w:val="22"/>
                <w:szCs w:val="22"/>
              </w:rPr>
              <w:t xml:space="preserve"> podrán solicitar una asistencia preparatoria, en consulta con las comunidades, grupos y, si procede, </w:t>
            </w:r>
            <w:r>
              <w:rPr>
                <w:rFonts w:asciiTheme="minorBidi" w:hAnsiTheme="minorBidi"/>
                <w:sz w:val="22"/>
                <w:szCs w:val="22"/>
              </w:rPr>
              <w:t>individuos</w:t>
            </w:r>
            <w:r w:rsidRPr="0061635A">
              <w:rPr>
                <w:rFonts w:asciiTheme="minorBidi" w:hAnsiTheme="minorBidi"/>
                <w:sz w:val="22"/>
                <w:szCs w:val="22"/>
              </w:rPr>
              <w:t xml:space="preserve"> interesad</w:t>
            </w:r>
            <w:r>
              <w:rPr>
                <w:rFonts w:asciiTheme="minorBidi" w:hAnsiTheme="minorBidi"/>
                <w:sz w:val="22"/>
                <w:szCs w:val="22"/>
              </w:rPr>
              <w:t>o</w:t>
            </w:r>
            <w:r w:rsidRPr="0061635A">
              <w:rPr>
                <w:rFonts w:asciiTheme="minorBidi" w:hAnsiTheme="minorBidi"/>
                <w:sz w:val="22"/>
                <w:szCs w:val="22"/>
              </w:rPr>
              <w:t>s, para la elaboración de:</w:t>
            </w:r>
          </w:p>
          <w:p w14:paraId="15172F9D" w14:textId="77777777" w:rsidR="008D2312" w:rsidRPr="0061635A" w:rsidRDefault="008D2312" w:rsidP="008D2312">
            <w:pPr>
              <w:keepLines/>
              <w:snapToGrid w:val="0"/>
              <w:spacing w:before="120" w:after="120"/>
              <w:ind w:left="422" w:hanging="422"/>
              <w:rPr>
                <w:rFonts w:asciiTheme="minorBidi" w:hAnsiTheme="minorBidi" w:cstheme="minorBidi"/>
                <w:sz w:val="22"/>
                <w:szCs w:val="22"/>
              </w:rPr>
            </w:pPr>
            <w:r w:rsidRPr="0061635A">
              <w:rPr>
                <w:rFonts w:asciiTheme="minorBidi" w:hAnsiTheme="minorBidi"/>
                <w:sz w:val="22"/>
                <w:szCs w:val="22"/>
              </w:rPr>
              <w:t xml:space="preserve">a) candidaturas a la Lista del Patrimonio Cultural Inmaterial que requiere medidas urgentes de salvaguardia, </w:t>
            </w:r>
          </w:p>
          <w:p w14:paraId="358A4B7D" w14:textId="77777777" w:rsidR="008D2312" w:rsidRPr="0061635A" w:rsidRDefault="008D2312" w:rsidP="008D2312">
            <w:pPr>
              <w:keepLines/>
              <w:snapToGrid w:val="0"/>
              <w:spacing w:before="120" w:after="120"/>
              <w:ind w:left="422" w:hanging="422"/>
              <w:rPr>
                <w:rFonts w:asciiTheme="minorBidi" w:hAnsiTheme="minorBidi" w:cstheme="minorBidi"/>
                <w:sz w:val="22"/>
                <w:szCs w:val="22"/>
              </w:rPr>
            </w:pPr>
            <w:r w:rsidRPr="0061635A">
              <w:rPr>
                <w:rFonts w:asciiTheme="minorBidi" w:hAnsiTheme="minorBidi"/>
                <w:sz w:val="22"/>
                <w:szCs w:val="22"/>
              </w:rPr>
              <w:t>b) propuestas de programas, proyectos y actividades que reflejan del modo más adecuado los principios y objetivos de la Convención,</w:t>
            </w:r>
          </w:p>
          <w:p w14:paraId="157ECFC2" w14:textId="32C4BC05" w:rsidR="008D2312" w:rsidRPr="0061635A" w:rsidRDefault="008D2312" w:rsidP="008D2312">
            <w:pPr>
              <w:keepLines/>
              <w:snapToGrid w:val="0"/>
              <w:spacing w:before="120" w:after="120"/>
              <w:ind w:left="422" w:hanging="422"/>
              <w:rPr>
                <w:rFonts w:asciiTheme="minorBidi" w:hAnsiTheme="minorBidi" w:cstheme="minorBidi"/>
                <w:sz w:val="22"/>
                <w:szCs w:val="22"/>
              </w:rPr>
            </w:pPr>
            <w:r w:rsidRPr="0061635A">
              <w:rPr>
                <w:rFonts w:asciiTheme="minorBidi" w:hAnsiTheme="minorBidi"/>
                <w:sz w:val="22"/>
                <w:szCs w:val="22"/>
              </w:rPr>
              <w:t xml:space="preserve">c) solicitudes de traspaso de un elemento de una lista a otra y </w:t>
            </w:r>
          </w:p>
          <w:p w14:paraId="3CF4F4AF" w14:textId="77777777" w:rsidR="008D2312" w:rsidRPr="0061635A" w:rsidRDefault="008D2312" w:rsidP="008D2312">
            <w:pPr>
              <w:keepLines/>
              <w:snapToGrid w:val="0"/>
              <w:spacing w:before="120" w:after="120"/>
              <w:ind w:left="422" w:hanging="422"/>
              <w:rPr>
                <w:rFonts w:asciiTheme="minorBidi" w:hAnsiTheme="minorBidi" w:cstheme="minorBidi"/>
                <w:sz w:val="22"/>
                <w:szCs w:val="22"/>
              </w:rPr>
            </w:pPr>
            <w:r w:rsidRPr="0061635A">
              <w:rPr>
                <w:rFonts w:asciiTheme="minorBidi" w:hAnsiTheme="minorBidi"/>
                <w:sz w:val="22"/>
                <w:szCs w:val="22"/>
              </w:rPr>
              <w:t>d) candidaturas de ampliación o reducción de elementos ya inscritos.</w:t>
            </w:r>
          </w:p>
        </w:tc>
        <w:tc>
          <w:tcPr>
            <w:tcW w:w="568" w:type="dxa"/>
          </w:tcPr>
          <w:p w14:paraId="1C5BA1B0" w14:textId="77777777" w:rsidR="008D2312" w:rsidRPr="0061635A" w:rsidRDefault="008D2312" w:rsidP="008D2312">
            <w:pPr>
              <w:keepLines/>
              <w:spacing w:before="120" w:after="60"/>
              <w:rPr>
                <w:rFonts w:asciiTheme="minorBidi" w:hAnsiTheme="minorBidi" w:cstheme="minorBidi"/>
                <w:sz w:val="22"/>
                <w:szCs w:val="22"/>
              </w:rPr>
            </w:pPr>
            <w:r w:rsidRPr="0061635A">
              <w:rPr>
                <w:rFonts w:asciiTheme="minorBidi" w:hAnsiTheme="minorBidi"/>
                <w:sz w:val="22"/>
                <w:szCs w:val="22"/>
              </w:rPr>
              <w:t>21.</w:t>
            </w:r>
          </w:p>
        </w:tc>
        <w:tc>
          <w:tcPr>
            <w:tcW w:w="6644" w:type="dxa"/>
          </w:tcPr>
          <w:p w14:paraId="025694B0" w14:textId="5066EE5A" w:rsidR="008D2312" w:rsidRPr="0061635A" w:rsidRDefault="008D2312" w:rsidP="008D2312">
            <w:pPr>
              <w:keepLines/>
              <w:snapToGrid w:val="0"/>
              <w:spacing w:before="120" w:after="120"/>
              <w:rPr>
                <w:rFonts w:asciiTheme="minorBidi" w:hAnsiTheme="minorBidi" w:cstheme="minorBidi"/>
                <w:sz w:val="22"/>
                <w:szCs w:val="22"/>
              </w:rPr>
            </w:pPr>
            <w:r w:rsidRPr="0061635A">
              <w:rPr>
                <w:rFonts w:asciiTheme="minorBidi" w:hAnsiTheme="minorBidi"/>
                <w:sz w:val="22"/>
                <w:szCs w:val="22"/>
              </w:rPr>
              <w:t xml:space="preserve">Los </w:t>
            </w:r>
            <w:proofErr w:type="gramStart"/>
            <w:r w:rsidRPr="0061635A">
              <w:rPr>
                <w:rFonts w:asciiTheme="minorBidi" w:hAnsiTheme="minorBidi"/>
                <w:sz w:val="22"/>
                <w:szCs w:val="22"/>
              </w:rPr>
              <w:t>Estados Partes</w:t>
            </w:r>
            <w:proofErr w:type="gramEnd"/>
            <w:r w:rsidRPr="0061635A">
              <w:rPr>
                <w:rFonts w:asciiTheme="minorBidi" w:hAnsiTheme="minorBidi"/>
                <w:sz w:val="22"/>
                <w:szCs w:val="22"/>
              </w:rPr>
              <w:t xml:space="preserve"> podrán solicitar una asistencia preparatoria, en consulta con las comunidades, grupos y, si procede, </w:t>
            </w:r>
            <w:r w:rsidR="00F5428B">
              <w:rPr>
                <w:rFonts w:asciiTheme="minorBidi" w:hAnsiTheme="minorBidi"/>
                <w:sz w:val="22"/>
                <w:szCs w:val="22"/>
              </w:rPr>
              <w:t xml:space="preserve">individuos </w:t>
            </w:r>
            <w:r w:rsidRPr="0061635A">
              <w:rPr>
                <w:rFonts w:asciiTheme="minorBidi" w:hAnsiTheme="minorBidi"/>
                <w:sz w:val="22"/>
                <w:szCs w:val="22"/>
              </w:rPr>
              <w:t>interesad</w:t>
            </w:r>
            <w:r w:rsidR="00F5428B">
              <w:rPr>
                <w:rFonts w:asciiTheme="minorBidi" w:hAnsiTheme="minorBidi"/>
                <w:sz w:val="22"/>
                <w:szCs w:val="22"/>
              </w:rPr>
              <w:t>o</w:t>
            </w:r>
            <w:r w:rsidRPr="0061635A">
              <w:rPr>
                <w:rFonts w:asciiTheme="minorBidi" w:hAnsiTheme="minorBidi"/>
                <w:sz w:val="22"/>
                <w:szCs w:val="22"/>
              </w:rPr>
              <w:t>s, para la elaboración de:</w:t>
            </w:r>
          </w:p>
          <w:p w14:paraId="4E92DCCF" w14:textId="77777777" w:rsidR="008D2312" w:rsidRPr="0061635A" w:rsidRDefault="008D2312" w:rsidP="008D2312">
            <w:pPr>
              <w:pStyle w:val="Paragraphedeliste"/>
              <w:keepLines/>
              <w:numPr>
                <w:ilvl w:val="0"/>
                <w:numId w:val="23"/>
              </w:numPr>
              <w:snapToGrid w:val="0"/>
              <w:spacing w:before="120"/>
              <w:ind w:left="457"/>
              <w:contextualSpacing w:val="0"/>
              <w:jc w:val="both"/>
              <w:rPr>
                <w:rFonts w:asciiTheme="minorBidi" w:eastAsia="Yu Mincho" w:hAnsiTheme="minorBidi"/>
                <w:b/>
                <w:bCs/>
                <w:sz w:val="22"/>
                <w:szCs w:val="22"/>
              </w:rPr>
            </w:pPr>
            <w:r w:rsidRPr="0061635A">
              <w:rPr>
                <w:rFonts w:asciiTheme="minorBidi" w:hAnsiTheme="minorBidi"/>
                <w:sz w:val="22"/>
                <w:szCs w:val="22"/>
              </w:rPr>
              <w:t>candidaturas a la Lista del Patrimonio Cultural Inmaterial que requiere medidas urgentes de salvaguardia,</w:t>
            </w:r>
          </w:p>
          <w:p w14:paraId="732DC5DE" w14:textId="17D2DDB2" w:rsidR="008D2312" w:rsidRPr="0061635A" w:rsidRDefault="008D2312" w:rsidP="008D2312">
            <w:pPr>
              <w:pStyle w:val="Paragraphedeliste"/>
              <w:keepLines/>
              <w:numPr>
                <w:ilvl w:val="0"/>
                <w:numId w:val="23"/>
              </w:numPr>
              <w:snapToGrid w:val="0"/>
              <w:spacing w:before="120" w:after="120"/>
              <w:ind w:left="457"/>
              <w:contextualSpacing w:val="0"/>
              <w:jc w:val="both"/>
              <w:rPr>
                <w:rFonts w:asciiTheme="minorBidi" w:eastAsia="Yu Mincho" w:hAnsiTheme="minorBidi"/>
                <w:b/>
                <w:bCs/>
                <w:sz w:val="22"/>
                <w:szCs w:val="22"/>
                <w:u w:val="single"/>
              </w:rPr>
            </w:pPr>
            <w:r w:rsidRPr="0061635A">
              <w:rPr>
                <w:rFonts w:asciiTheme="minorBidi" w:hAnsiTheme="minorBidi"/>
                <w:sz w:val="22"/>
                <w:szCs w:val="22"/>
                <w:u w:val="single"/>
              </w:rPr>
              <w:t xml:space="preserve">candidaturas a la Lista Representativa (solo para </w:t>
            </w:r>
            <w:r w:rsidR="00E235C4">
              <w:rPr>
                <w:rFonts w:asciiTheme="minorBidi" w:hAnsiTheme="minorBidi"/>
                <w:sz w:val="22"/>
                <w:szCs w:val="22"/>
                <w:u w:val="single"/>
              </w:rPr>
              <w:t>aquel</w:t>
            </w:r>
            <w:r w:rsidRPr="0061635A">
              <w:rPr>
                <w:rFonts w:asciiTheme="minorBidi" w:hAnsiTheme="minorBidi"/>
                <w:sz w:val="22"/>
                <w:szCs w:val="22"/>
                <w:u w:val="single"/>
              </w:rPr>
              <w:t xml:space="preserve">los </w:t>
            </w:r>
            <w:proofErr w:type="gramStart"/>
            <w:r w:rsidRPr="0061635A">
              <w:rPr>
                <w:rFonts w:asciiTheme="minorBidi" w:hAnsiTheme="minorBidi"/>
                <w:sz w:val="22"/>
                <w:szCs w:val="22"/>
                <w:u w:val="single"/>
              </w:rPr>
              <w:t>Estados Partes</w:t>
            </w:r>
            <w:proofErr w:type="gramEnd"/>
            <w:r w:rsidRPr="0061635A">
              <w:rPr>
                <w:rFonts w:asciiTheme="minorBidi" w:hAnsiTheme="minorBidi"/>
                <w:sz w:val="22"/>
                <w:szCs w:val="22"/>
                <w:u w:val="single"/>
              </w:rPr>
              <w:t xml:space="preserve"> que no tengan elementos nacionales ya inscritos en esta </w:t>
            </w:r>
            <w:r w:rsidR="00E235C4" w:rsidRPr="0061635A">
              <w:rPr>
                <w:rFonts w:asciiTheme="minorBidi" w:hAnsiTheme="minorBidi"/>
                <w:sz w:val="22"/>
                <w:szCs w:val="22"/>
                <w:u w:val="single"/>
              </w:rPr>
              <w:t>l</w:t>
            </w:r>
            <w:r w:rsidRPr="0061635A">
              <w:rPr>
                <w:rFonts w:asciiTheme="minorBidi" w:hAnsiTheme="minorBidi"/>
                <w:sz w:val="22"/>
                <w:szCs w:val="22"/>
                <w:u w:val="single"/>
              </w:rPr>
              <w:t>ista),</w:t>
            </w:r>
          </w:p>
          <w:p w14:paraId="3E0CD03B" w14:textId="77777777" w:rsidR="008D2312" w:rsidRPr="0061635A" w:rsidRDefault="008D2312" w:rsidP="008D2312">
            <w:pPr>
              <w:pStyle w:val="Paragraphedeliste"/>
              <w:keepLines/>
              <w:numPr>
                <w:ilvl w:val="0"/>
                <w:numId w:val="23"/>
              </w:numPr>
              <w:snapToGrid w:val="0"/>
              <w:spacing w:before="120" w:after="120"/>
              <w:ind w:left="457"/>
              <w:contextualSpacing w:val="0"/>
              <w:jc w:val="both"/>
              <w:rPr>
                <w:rFonts w:asciiTheme="minorBidi" w:eastAsia="Yu Mincho" w:hAnsiTheme="minorBidi"/>
                <w:b/>
                <w:bCs/>
                <w:sz w:val="22"/>
                <w:szCs w:val="22"/>
              </w:rPr>
            </w:pPr>
            <w:r w:rsidRPr="0061635A">
              <w:rPr>
                <w:rFonts w:asciiTheme="minorBidi" w:hAnsiTheme="minorBidi"/>
                <w:sz w:val="22"/>
                <w:szCs w:val="22"/>
              </w:rPr>
              <w:t xml:space="preserve">propuestas de programas, proyectos y actividades que reflejan del modo más adecuado los principios y objetivos de la Convención, </w:t>
            </w:r>
          </w:p>
          <w:p w14:paraId="0C9D4792" w14:textId="0F8FB7D4" w:rsidR="008D2312" w:rsidRPr="0061635A" w:rsidRDefault="008D2312" w:rsidP="008D2312">
            <w:pPr>
              <w:pStyle w:val="Paragraphedeliste"/>
              <w:keepLines/>
              <w:numPr>
                <w:ilvl w:val="0"/>
                <w:numId w:val="23"/>
              </w:numPr>
              <w:snapToGrid w:val="0"/>
              <w:spacing w:before="120" w:after="120"/>
              <w:ind w:left="457"/>
              <w:contextualSpacing w:val="0"/>
              <w:jc w:val="both"/>
              <w:rPr>
                <w:rFonts w:ascii="Calibri" w:eastAsia="Calibri" w:hAnsi="Calibri"/>
                <w:b/>
                <w:bCs/>
                <w:color w:val="000000" w:themeColor="text1"/>
                <w:sz w:val="22"/>
                <w:szCs w:val="22"/>
                <w:u w:val="single"/>
              </w:rPr>
            </w:pPr>
            <w:r w:rsidRPr="0061635A">
              <w:rPr>
                <w:rFonts w:asciiTheme="minorBidi" w:hAnsiTheme="minorBidi"/>
                <w:sz w:val="22"/>
                <w:szCs w:val="22"/>
              </w:rPr>
              <w:t xml:space="preserve">solicitudes de traspaso de un elemento de una lista a otra y </w:t>
            </w:r>
          </w:p>
          <w:p w14:paraId="08CF613E" w14:textId="77777777" w:rsidR="008D2312" w:rsidRPr="0061635A" w:rsidRDefault="008D2312" w:rsidP="008D2312">
            <w:pPr>
              <w:pStyle w:val="Paragraphedeliste"/>
              <w:keepLines/>
              <w:numPr>
                <w:ilvl w:val="0"/>
                <w:numId w:val="23"/>
              </w:numPr>
              <w:snapToGrid w:val="0"/>
              <w:spacing w:before="120" w:after="120"/>
              <w:ind w:left="457"/>
              <w:contextualSpacing w:val="0"/>
              <w:jc w:val="both"/>
              <w:rPr>
                <w:rFonts w:ascii="Calibri" w:eastAsia="Calibri" w:hAnsi="Calibri"/>
                <w:b/>
                <w:bCs/>
                <w:color w:val="000000" w:themeColor="text1"/>
                <w:sz w:val="22"/>
                <w:szCs w:val="22"/>
                <w:u w:val="single"/>
              </w:rPr>
            </w:pPr>
            <w:r w:rsidRPr="0061635A">
              <w:rPr>
                <w:rFonts w:asciiTheme="minorBidi" w:hAnsiTheme="minorBidi"/>
                <w:sz w:val="22"/>
                <w:szCs w:val="22"/>
              </w:rPr>
              <w:t>candidaturas de ampliación o reducción de elementos ya inscritos.</w:t>
            </w:r>
          </w:p>
        </w:tc>
      </w:tr>
    </w:tbl>
    <w:p w14:paraId="1B9CFAA9" w14:textId="77777777" w:rsidR="00063D10" w:rsidRPr="00FA3C87" w:rsidRDefault="00063D10" w:rsidP="00F5428B">
      <w:pPr>
        <w:spacing w:after="160" w:line="259" w:lineRule="auto"/>
        <w:rPr>
          <w:rFonts w:ascii="Arial" w:eastAsia="SimSun" w:hAnsi="Arial" w:cs="Arial"/>
          <w:sz w:val="22"/>
          <w:szCs w:val="22"/>
          <w:u w:val="single"/>
        </w:rPr>
      </w:pPr>
    </w:p>
    <w:sectPr w:rsidR="00063D10" w:rsidRPr="00FA3C87" w:rsidSect="0037663E">
      <w:pgSz w:w="16838" w:h="11906" w:orient="landscape" w:code="9"/>
      <w:pgMar w:top="1134" w:right="1418"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3688" w14:textId="77777777" w:rsidR="0037663E" w:rsidRDefault="0037663E" w:rsidP="00655736">
      <w:r>
        <w:separator/>
      </w:r>
    </w:p>
  </w:endnote>
  <w:endnote w:type="continuationSeparator" w:id="0">
    <w:p w14:paraId="76B6665B" w14:textId="77777777" w:rsidR="0037663E" w:rsidRDefault="0037663E"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D433" w14:textId="77777777" w:rsidR="0037663E" w:rsidRDefault="0037663E" w:rsidP="00655736">
      <w:r>
        <w:separator/>
      </w:r>
    </w:p>
  </w:footnote>
  <w:footnote w:type="continuationSeparator" w:id="0">
    <w:p w14:paraId="124E356D" w14:textId="77777777" w:rsidR="0037663E" w:rsidRDefault="0037663E" w:rsidP="00655736">
      <w:r>
        <w:continuationSeparator/>
      </w:r>
    </w:p>
  </w:footnote>
  <w:footnote w:id="1">
    <w:p w14:paraId="5D19F4E5" w14:textId="714500B5" w:rsidR="00DA2EF5" w:rsidRPr="00632D63" w:rsidRDefault="00DA2EF5" w:rsidP="00293DF9">
      <w:pPr>
        <w:pStyle w:val="Notedebasdepage"/>
        <w:ind w:left="180" w:hanging="180"/>
        <w:rPr>
          <w:rFonts w:asciiTheme="minorBidi" w:hAnsiTheme="minorBidi" w:cstheme="minorBidi"/>
          <w:sz w:val="18"/>
          <w:szCs w:val="18"/>
        </w:rPr>
      </w:pPr>
      <w:bookmarkStart w:id="1" w:name="_Hlk124351068"/>
      <w:r w:rsidRPr="00632D63">
        <w:rPr>
          <w:rStyle w:val="Appelnotedebasdep"/>
          <w:rFonts w:asciiTheme="minorBidi" w:hAnsiTheme="minorBidi" w:cstheme="minorBidi"/>
          <w:sz w:val="18"/>
          <w:szCs w:val="18"/>
          <w:lang w:val="en-GB"/>
        </w:rPr>
        <w:footnoteRef/>
      </w:r>
      <w:r w:rsidRPr="00632D63">
        <w:rPr>
          <w:rFonts w:asciiTheme="minorBidi" w:hAnsiTheme="minorBidi" w:cstheme="minorBidi"/>
          <w:sz w:val="18"/>
          <w:szCs w:val="18"/>
        </w:rPr>
        <w:tab/>
        <w:t xml:space="preserve">Véase también la página web </w:t>
      </w:r>
      <w:r w:rsidR="00AD0E4E" w:rsidRPr="00632D63">
        <w:rPr>
          <w:rFonts w:asciiTheme="minorBidi" w:hAnsiTheme="minorBidi" w:cstheme="minorBidi"/>
          <w:sz w:val="18"/>
          <w:szCs w:val="18"/>
        </w:rPr>
        <w:t>dedicada a</w:t>
      </w:r>
      <w:r w:rsidRPr="00632D63">
        <w:rPr>
          <w:rFonts w:asciiTheme="minorBidi" w:hAnsiTheme="minorBidi" w:cstheme="minorBidi"/>
          <w:sz w:val="18"/>
          <w:szCs w:val="18"/>
        </w:rPr>
        <w:t xml:space="preserve"> la reflexión global: </w:t>
      </w:r>
      <w:hyperlink r:id="rId1" w:history="1">
        <w:r w:rsidRPr="00632D63">
          <w:rPr>
            <w:rStyle w:val="Lienhypertexte"/>
            <w:rFonts w:asciiTheme="minorBidi" w:hAnsiTheme="minorBidi" w:cstheme="minorBidi"/>
            <w:sz w:val="18"/>
            <w:szCs w:val="18"/>
          </w:rPr>
          <w:t>https://ich.unesco.org/es/reflexion-global-sobre-los-mecanismos-de-inscripcion-en-las-listas-01164</w:t>
        </w:r>
      </w:hyperlink>
      <w:r w:rsidRPr="00632D63">
        <w:rPr>
          <w:rFonts w:asciiTheme="minorBidi" w:hAnsiTheme="minorBidi" w:cstheme="minorBidi"/>
          <w:sz w:val="18"/>
          <w:szCs w:val="18"/>
        </w:rPr>
        <w:t>.</w:t>
      </w:r>
      <w:bookmarkEnd w:id="1"/>
    </w:p>
  </w:footnote>
  <w:footnote w:id="2">
    <w:p w14:paraId="1C04FB5A" w14:textId="477EDFC4" w:rsidR="001A409F" w:rsidRPr="00632D63" w:rsidRDefault="001A409F" w:rsidP="00293DF9">
      <w:pPr>
        <w:pStyle w:val="Notedebasdepage"/>
        <w:ind w:left="180" w:hanging="180"/>
        <w:jc w:val="both"/>
        <w:rPr>
          <w:rFonts w:asciiTheme="minorBidi" w:hAnsiTheme="minorBidi" w:cstheme="minorBidi"/>
          <w:sz w:val="18"/>
          <w:szCs w:val="18"/>
        </w:rPr>
      </w:pPr>
      <w:r w:rsidRPr="00632D63">
        <w:rPr>
          <w:rStyle w:val="Appelnotedebasdep"/>
          <w:rFonts w:asciiTheme="minorBidi" w:hAnsiTheme="minorBidi" w:cstheme="minorBidi"/>
          <w:sz w:val="18"/>
          <w:szCs w:val="18"/>
          <w:lang w:val="en-GB"/>
        </w:rPr>
        <w:footnoteRef/>
      </w:r>
      <w:r w:rsidRPr="00632D63">
        <w:rPr>
          <w:rFonts w:asciiTheme="minorBidi" w:hAnsiTheme="minorBidi" w:cstheme="minorBidi"/>
          <w:sz w:val="18"/>
          <w:szCs w:val="18"/>
        </w:rPr>
        <w:t xml:space="preserve"> </w:t>
      </w:r>
      <w:r w:rsidRPr="00632D63">
        <w:rPr>
          <w:rFonts w:asciiTheme="minorBidi" w:hAnsiTheme="minorBidi" w:cstheme="minorBidi"/>
          <w:sz w:val="18"/>
          <w:szCs w:val="18"/>
        </w:rPr>
        <w:tab/>
        <w:t>Según el Artículo 18 de la Convención de 2003, el “Comité seleccionará periódicamente y promoverá los programas, proyectos y actividades de ámbito nacional, subregional o regional para la salvaguardia del patrimonio que a su entender reflejen del modo más adecuado los principios y objetivos de la presente Convención, teniendo en cuenta las necesidades particulares de los países en desarrollo” Para aplicar esta disposición, en 2009 se creó el Registro de Buenas Prácticas de Salvaguardia.</w:t>
      </w:r>
    </w:p>
  </w:footnote>
  <w:footnote w:id="3">
    <w:p w14:paraId="1B75B3C7" w14:textId="30AD5C50" w:rsidR="006704B3" w:rsidRPr="00632D63" w:rsidRDefault="006704B3" w:rsidP="00293DF9">
      <w:pPr>
        <w:pStyle w:val="Notedebasdepage"/>
        <w:ind w:left="180" w:hanging="180"/>
        <w:jc w:val="both"/>
        <w:rPr>
          <w:rFonts w:asciiTheme="minorBidi" w:hAnsiTheme="minorBidi" w:cstheme="minorBidi"/>
          <w:sz w:val="18"/>
          <w:szCs w:val="18"/>
        </w:rPr>
      </w:pPr>
      <w:r w:rsidRPr="00632D63">
        <w:rPr>
          <w:rStyle w:val="Appelnotedebasdep"/>
          <w:rFonts w:asciiTheme="minorBidi" w:hAnsiTheme="minorBidi" w:cstheme="minorBidi"/>
          <w:sz w:val="18"/>
          <w:szCs w:val="18"/>
          <w:lang w:val="en-GB"/>
        </w:rPr>
        <w:footnoteRef/>
      </w:r>
      <w:r w:rsidRPr="00632D63">
        <w:rPr>
          <w:rFonts w:asciiTheme="minorBidi" w:hAnsiTheme="minorBidi" w:cstheme="minorBidi"/>
          <w:sz w:val="18"/>
          <w:szCs w:val="18"/>
        </w:rPr>
        <w:t xml:space="preserve"> </w:t>
      </w:r>
      <w:r w:rsidRPr="00632D63">
        <w:rPr>
          <w:rFonts w:asciiTheme="minorBidi" w:hAnsiTheme="minorBidi" w:cstheme="minorBidi"/>
          <w:sz w:val="18"/>
          <w:szCs w:val="18"/>
        </w:rPr>
        <w:tab/>
        <w:t>Antes de su supresión, el criterio P.9 establecía lo siguiente: “El programa, proyecto o actividad responde principalmente a las necesidades particulares de los países en desarrollo”.</w:t>
      </w:r>
    </w:p>
  </w:footnote>
  <w:footnote w:id="4">
    <w:p w14:paraId="7E09A3A8" w14:textId="420AC4A4" w:rsidR="00276DE9" w:rsidRPr="00632D63" w:rsidRDefault="00276DE9" w:rsidP="00293DF9">
      <w:pPr>
        <w:pStyle w:val="Notedebasdepage"/>
        <w:spacing w:after="120"/>
        <w:ind w:left="180" w:hanging="207"/>
        <w:jc w:val="both"/>
        <w:rPr>
          <w:rFonts w:asciiTheme="minorBidi" w:hAnsiTheme="minorBidi" w:cstheme="minorBidi"/>
          <w:sz w:val="18"/>
          <w:szCs w:val="18"/>
        </w:rPr>
      </w:pPr>
      <w:r w:rsidRPr="00632D63">
        <w:rPr>
          <w:rStyle w:val="Appelnotedebasdep"/>
          <w:rFonts w:asciiTheme="minorBidi" w:hAnsiTheme="minorBidi" w:cstheme="minorBidi"/>
          <w:sz w:val="18"/>
          <w:szCs w:val="18"/>
          <w:lang w:val="en-GB"/>
        </w:rPr>
        <w:footnoteRef/>
      </w:r>
      <w:r w:rsidRPr="00632D63">
        <w:rPr>
          <w:rFonts w:asciiTheme="minorBidi" w:hAnsiTheme="minorBidi" w:cstheme="minorBidi"/>
          <w:sz w:val="18"/>
          <w:szCs w:val="18"/>
        </w:rPr>
        <w:tab/>
        <w:t xml:space="preserve">Véase la </w:t>
      </w:r>
      <w:hyperlink r:id="rId2" w:history="1">
        <w:r w:rsidRPr="00632D63">
          <w:rPr>
            <w:rStyle w:val="Lienhypertexte"/>
            <w:rFonts w:asciiTheme="minorBidi" w:hAnsiTheme="minorBidi" w:cstheme="minorBidi"/>
            <w:sz w:val="18"/>
            <w:szCs w:val="18"/>
          </w:rPr>
          <w:t xml:space="preserve">página web </w:t>
        </w:r>
        <w:r w:rsidR="008F0A8B" w:rsidRPr="00632D63">
          <w:rPr>
            <w:rStyle w:val="Lienhypertexte"/>
            <w:rFonts w:asciiTheme="minorBidi" w:hAnsiTheme="minorBidi" w:cstheme="minorBidi"/>
            <w:sz w:val="18"/>
            <w:szCs w:val="18"/>
          </w:rPr>
          <w:t>dedicada</w:t>
        </w:r>
      </w:hyperlink>
      <w:r w:rsidRPr="00632D63">
        <w:rPr>
          <w:rFonts w:asciiTheme="minorBidi" w:hAnsiTheme="minorBidi" w:cstheme="minorBidi"/>
          <w:sz w:val="18"/>
          <w:szCs w:val="18"/>
        </w:rPr>
        <w:t xml:space="preserve"> </w:t>
      </w:r>
      <w:r w:rsidR="008F0A8B" w:rsidRPr="00632D63">
        <w:rPr>
          <w:rFonts w:asciiTheme="minorBidi" w:hAnsiTheme="minorBidi" w:cstheme="minorBidi"/>
          <w:sz w:val="18"/>
          <w:szCs w:val="18"/>
        </w:rPr>
        <w:t>a</w:t>
      </w:r>
      <w:r w:rsidRPr="00632D63">
        <w:rPr>
          <w:rFonts w:asciiTheme="minorBidi" w:hAnsiTheme="minorBidi" w:cstheme="minorBidi"/>
          <w:sz w:val="18"/>
          <w:szCs w:val="18"/>
        </w:rPr>
        <w:t xml:space="preserve"> la reunión del grupo de trabajo, incluidos el orden del día y el calendario, así como otros documentos de trabajo.</w:t>
      </w:r>
    </w:p>
  </w:footnote>
  <w:footnote w:id="5">
    <w:p w14:paraId="45304613" w14:textId="4B28F705" w:rsidR="00D20D37" w:rsidRPr="00632D63" w:rsidRDefault="00D20D37" w:rsidP="00BB4607">
      <w:pPr>
        <w:pStyle w:val="Notedebasdepage"/>
        <w:jc w:val="both"/>
        <w:rPr>
          <w:rFonts w:asciiTheme="minorBidi" w:hAnsiTheme="minorBidi" w:cstheme="minorBidi"/>
          <w:sz w:val="18"/>
          <w:szCs w:val="18"/>
        </w:rPr>
      </w:pPr>
      <w:r w:rsidRPr="00632D63">
        <w:rPr>
          <w:rStyle w:val="Appelnotedebasdep"/>
          <w:rFonts w:asciiTheme="minorBidi" w:hAnsiTheme="minorBidi" w:cstheme="minorBidi"/>
          <w:sz w:val="18"/>
          <w:szCs w:val="18"/>
          <w:lang w:val="en-GB"/>
        </w:rPr>
        <w:footnoteRef/>
      </w:r>
      <w:r w:rsidRPr="00632D63">
        <w:rPr>
          <w:rFonts w:asciiTheme="minorBidi" w:hAnsiTheme="minorBidi" w:cstheme="minorBidi"/>
          <w:sz w:val="18"/>
          <w:szCs w:val="18"/>
        </w:rPr>
        <w:t xml:space="preserve"> El Reino Unido de Gran Bretaña e Irlanda del Norte depositó su instrumento de ratificación el 8 de marzo de 2024 </w:t>
      </w:r>
      <w:r w:rsidRPr="00632D63">
        <w:rPr>
          <w:rFonts w:asciiTheme="minorBidi" w:hAnsiTheme="minorBidi" w:cstheme="minorBidi"/>
          <w:color w:val="000000"/>
          <w:sz w:val="18"/>
          <w:szCs w:val="18"/>
          <w:shd w:val="clear" w:color="auto" w:fill="FFFFFF"/>
        </w:rPr>
        <w:t>y se convertirá en el 183º Estado en adherirse a la Convención de 2003 el 8 de junio de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3AF74224" w:rsidR="00D95C4C" w:rsidRPr="00C23A97" w:rsidRDefault="00C5776D" w:rsidP="00C5776D">
    <w:pPr>
      <w:pStyle w:val="En-tte"/>
      <w:rPr>
        <w:rFonts w:ascii="Arial" w:hAnsi="Arial" w:cs="Arial"/>
      </w:rPr>
    </w:pPr>
    <w:r>
      <w:rPr>
        <w:rFonts w:ascii="Arial" w:hAnsi="Arial"/>
        <w:sz w:val="20"/>
      </w:rPr>
      <w:t xml:space="preserve">LHE/24/10.GA/7 – página </w:t>
    </w:r>
    <w:r w:rsidR="00D95C4C" w:rsidRPr="00C23A97">
      <w:rPr>
        <w:rStyle w:val="Numrodepage"/>
        <w:rFonts w:ascii="Arial" w:hAnsi="Arial" w:cs="Arial"/>
        <w:sz w:val="20"/>
      </w:rPr>
      <w:fldChar w:fldCharType="begin"/>
    </w:r>
    <w:r w:rsidR="00D95C4C" w:rsidRPr="00C23A97">
      <w:rPr>
        <w:rStyle w:val="Numrodepage"/>
        <w:rFonts w:ascii="Arial" w:hAnsi="Arial" w:cs="Arial"/>
        <w:sz w:val="20"/>
      </w:rPr>
      <w:instrText xml:space="preserve"> PAGE </w:instrText>
    </w:r>
    <w:r w:rsidR="00D95C4C" w:rsidRPr="00C23A97">
      <w:rPr>
        <w:rStyle w:val="Numrodepage"/>
        <w:rFonts w:ascii="Arial" w:hAnsi="Arial" w:cs="Arial"/>
        <w:sz w:val="20"/>
      </w:rPr>
      <w:fldChar w:fldCharType="separate"/>
    </w:r>
    <w:r w:rsidR="006E75EB">
      <w:rPr>
        <w:rStyle w:val="Numrodepage"/>
        <w:rFonts w:ascii="Arial" w:hAnsi="Arial" w:cs="Arial"/>
        <w:sz w:val="20"/>
      </w:rPr>
      <w:t>2</w:t>
    </w:r>
    <w:r w:rsidR="00D95C4C" w:rsidRPr="00C23A97">
      <w:rPr>
        <w:rStyle w:val="Numrodepage"/>
        <w:rFonts w:ascii="Arial" w:hAnsi="Arial" w:cs="Arial"/>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5C6B7864" w:rsidR="00D95C4C" w:rsidRPr="0063300C" w:rsidRDefault="00C5776D" w:rsidP="00C5776D">
    <w:pPr>
      <w:pStyle w:val="En-tte"/>
      <w:jc w:val="right"/>
      <w:rPr>
        <w:rFonts w:ascii="Arial" w:hAnsi="Arial" w:cs="Arial"/>
      </w:rPr>
    </w:pPr>
    <w:r>
      <w:rPr>
        <w:rFonts w:ascii="Arial" w:hAnsi="Arial"/>
        <w:sz w:val="20"/>
      </w:rPr>
      <w:t xml:space="preserve">LHE/24/10.GA/7 – página </w:t>
    </w:r>
    <w:r w:rsidR="004A34A0" w:rsidRPr="0063300C">
      <w:rPr>
        <w:rStyle w:val="Numrodepage"/>
        <w:rFonts w:ascii="Arial" w:hAnsi="Arial" w:cs="Arial"/>
        <w:sz w:val="20"/>
      </w:rPr>
      <w:fldChar w:fldCharType="begin"/>
    </w:r>
    <w:r w:rsidR="004A34A0" w:rsidRPr="0063300C">
      <w:rPr>
        <w:rStyle w:val="Numrodepage"/>
        <w:rFonts w:ascii="Arial" w:hAnsi="Arial" w:cs="Arial"/>
        <w:sz w:val="20"/>
      </w:rPr>
      <w:instrText xml:space="preserve"> PAGE </w:instrText>
    </w:r>
    <w:r w:rsidR="004A34A0" w:rsidRPr="0063300C">
      <w:rPr>
        <w:rStyle w:val="Numrodepage"/>
        <w:rFonts w:ascii="Arial" w:hAnsi="Arial" w:cs="Arial"/>
        <w:sz w:val="20"/>
      </w:rPr>
      <w:fldChar w:fldCharType="separate"/>
    </w:r>
    <w:r w:rsidR="00190205">
      <w:rPr>
        <w:rStyle w:val="Numrodepage"/>
        <w:rFonts w:ascii="Arial" w:hAnsi="Arial" w:cs="Arial"/>
        <w:sz w:val="20"/>
      </w:rPr>
      <w:t>3</w:t>
    </w:r>
    <w:r w:rsidR="004A34A0" w:rsidRPr="0063300C">
      <w:rPr>
        <w:rStyle w:val="Numrodepage"/>
        <w:rFonts w:ascii="Arial" w:hAnsi="Arial" w:cs="Arial"/>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501B1122" w:rsidR="00D95C4C" w:rsidRPr="00E95AE2" w:rsidRDefault="0023269C">
    <w:pPr>
      <w:pStyle w:val="En-tte"/>
      <w:rPr>
        <w:sz w:val="22"/>
        <w:szCs w:val="22"/>
      </w:rPr>
    </w:pPr>
    <w:r>
      <w:rPr>
        <w:noProof/>
      </w:rPr>
      <w:drawing>
        <wp:anchor distT="0" distB="0" distL="114300" distR="114300" simplePos="0" relativeHeight="251659264" behindDoc="0" locked="0" layoutInCell="1" allowOverlap="1" wp14:anchorId="396D299B" wp14:editId="18BE7E5F">
          <wp:simplePos x="0" y="0"/>
          <wp:positionH relativeFrom="margin">
            <wp:posOffset>-47625</wp:posOffset>
          </wp:positionH>
          <wp:positionV relativeFrom="paragraph">
            <wp:posOffset>-9525</wp:posOffset>
          </wp:positionV>
          <wp:extent cx="1709420" cy="1439545"/>
          <wp:effectExtent l="0" t="0" r="5080" b="8255"/>
          <wp:wrapSquare wrapText="bothSides"/>
          <wp:docPr id="2" name="Imag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57B917" w14:textId="482825F8" w:rsidR="00D95C4C" w:rsidRPr="00D7105A" w:rsidRDefault="005C792B" w:rsidP="00C5776D">
    <w:pPr>
      <w:pStyle w:val="En-tte"/>
      <w:spacing w:after="520"/>
      <w:jc w:val="right"/>
      <w:rPr>
        <w:rFonts w:ascii="Arial" w:hAnsi="Arial" w:cs="Arial"/>
        <w:b/>
        <w:sz w:val="44"/>
        <w:szCs w:val="44"/>
      </w:rPr>
    </w:pPr>
    <w:r>
      <w:rPr>
        <w:rFonts w:ascii="Arial" w:hAnsi="Arial"/>
        <w:b/>
        <w:sz w:val="44"/>
      </w:rPr>
      <w:t>10 GA</w:t>
    </w:r>
  </w:p>
  <w:p w14:paraId="306484B8" w14:textId="4087694F" w:rsidR="00D95C4C" w:rsidRPr="00D7105A" w:rsidRDefault="00C5776D" w:rsidP="00C5776D">
    <w:pPr>
      <w:jc w:val="right"/>
      <w:rPr>
        <w:rFonts w:ascii="Arial" w:hAnsi="Arial" w:cs="Arial"/>
        <w:b/>
        <w:sz w:val="22"/>
        <w:szCs w:val="22"/>
      </w:rPr>
    </w:pPr>
    <w:r>
      <w:rPr>
        <w:rFonts w:ascii="Arial" w:hAnsi="Arial"/>
        <w:b/>
        <w:sz w:val="22"/>
      </w:rPr>
      <w:t>LHE/24/10.GA/7</w:t>
    </w:r>
  </w:p>
  <w:p w14:paraId="1B4446C3" w14:textId="3361FFFD" w:rsidR="00D95C4C" w:rsidRPr="00D7105A" w:rsidRDefault="00D95C4C" w:rsidP="00655736">
    <w:pPr>
      <w:jc w:val="right"/>
      <w:rPr>
        <w:rFonts w:ascii="Arial" w:eastAsiaTheme="minorEastAsia" w:hAnsi="Arial" w:cs="Arial"/>
        <w:b/>
        <w:sz w:val="22"/>
        <w:szCs w:val="22"/>
      </w:rPr>
    </w:pPr>
    <w:r w:rsidRPr="0061635A">
      <w:rPr>
        <w:rFonts w:ascii="Arial" w:hAnsi="Arial"/>
        <w:b/>
        <w:sz w:val="22"/>
      </w:rPr>
      <w:t>París, 13 de mayo de 2024</w:t>
    </w:r>
  </w:p>
  <w:p w14:paraId="255B57FF" w14:textId="317B5DE1" w:rsidR="00D95C4C" w:rsidRPr="005A74ED" w:rsidRDefault="00D95C4C" w:rsidP="00962034">
    <w:pPr>
      <w:spacing w:after="120"/>
      <w:jc w:val="right"/>
      <w:rPr>
        <w:rFonts w:ascii="Arial" w:hAnsi="Arial" w:cs="Arial"/>
        <w:b/>
        <w:sz w:val="22"/>
        <w:szCs w:val="22"/>
      </w:rPr>
    </w:pPr>
    <w:r>
      <w:rPr>
        <w:rFonts w:ascii="Arial" w:hAnsi="Arial"/>
        <w:b/>
        <w:sz w:val="22"/>
      </w:rPr>
      <w:t>Original: inglés</w:t>
    </w:r>
  </w:p>
  <w:p w14:paraId="3C4B8B1B" w14:textId="77777777" w:rsidR="00D95C4C" w:rsidRPr="005A74ED" w:rsidRDefault="00D95C4C">
    <w:pPr>
      <w:pStyle w:val="En-tte"/>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4E9"/>
    <w:multiLevelType w:val="hybridMultilevel"/>
    <w:tmpl w:val="C0DA0AFA"/>
    <w:lvl w:ilvl="0" w:tplc="040C0019">
      <w:start w:val="1"/>
      <w:numFmt w:val="lowerLetter"/>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15:restartNumberingAfterBreak="0">
    <w:nsid w:val="05D310FD"/>
    <w:multiLevelType w:val="hybridMultilevel"/>
    <w:tmpl w:val="ADBCA12C"/>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733ED1"/>
    <w:multiLevelType w:val="hybridMultilevel"/>
    <w:tmpl w:val="BC885424"/>
    <w:lvl w:ilvl="0" w:tplc="67464068">
      <w:start w:val="1"/>
      <w:numFmt w:val="lowerLetter"/>
      <w:lvlText w:val="(%1)"/>
      <w:lvlJc w:val="left"/>
      <w:pPr>
        <w:ind w:left="720" w:hanging="360"/>
      </w:pPr>
      <w:rPr>
        <w:rFonts w:asciiTheme="minorBidi" w:eastAsia="Yu Mincho" w:hAnsiTheme="minorBidi" w:cs="Arial"/>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42F7ABB"/>
    <w:multiLevelType w:val="hybridMultilevel"/>
    <w:tmpl w:val="81949B26"/>
    <w:lvl w:ilvl="0" w:tplc="040C0001">
      <w:start w:val="1"/>
      <w:numFmt w:val="bullet"/>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1BBF2FDF"/>
    <w:multiLevelType w:val="hybridMultilevel"/>
    <w:tmpl w:val="5A42212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8"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08B7B0B"/>
    <w:multiLevelType w:val="hybridMultilevel"/>
    <w:tmpl w:val="0F1890A8"/>
    <w:lvl w:ilvl="0" w:tplc="0409001B">
      <w:start w:val="1"/>
      <w:numFmt w:val="lowerRoman"/>
      <w:lvlText w:val="%1."/>
      <w:lvlJc w:val="righ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6933BF"/>
    <w:multiLevelType w:val="multilevel"/>
    <w:tmpl w:val="C6ECC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F07BFE"/>
    <w:multiLevelType w:val="hybridMultilevel"/>
    <w:tmpl w:val="BC66347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4"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3AC30BD2"/>
    <w:multiLevelType w:val="hybridMultilevel"/>
    <w:tmpl w:val="2F02E984"/>
    <w:lvl w:ilvl="0" w:tplc="DFC65752">
      <w:start w:val="1"/>
      <w:numFmt w:val="upperRoman"/>
      <w:pStyle w:val="Titre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B2E1ABD"/>
    <w:multiLevelType w:val="hybridMultilevel"/>
    <w:tmpl w:val="D1A06F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9" w15:restartNumberingAfterBreak="0">
    <w:nsid w:val="4CA76E18"/>
    <w:multiLevelType w:val="hybridMultilevel"/>
    <w:tmpl w:val="44DAEB5A"/>
    <w:lvl w:ilvl="0" w:tplc="8E584DD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A9D03FE"/>
    <w:multiLevelType w:val="hybridMultilevel"/>
    <w:tmpl w:val="8D22B2D2"/>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22" w15:restartNumberingAfterBreak="0">
    <w:nsid w:val="64833242"/>
    <w:multiLevelType w:val="hybridMultilevel"/>
    <w:tmpl w:val="291A2D54"/>
    <w:lvl w:ilvl="0" w:tplc="FFFFFFFF">
      <w:start w:val="1"/>
      <w:numFmt w:val="lowerLetter"/>
      <w:lvlText w:val="(%1)"/>
      <w:lvlJc w:val="left"/>
      <w:pPr>
        <w:ind w:left="720" w:hanging="360"/>
      </w:pPr>
      <w:rPr>
        <w:rFonts w:asciiTheme="minorBidi" w:eastAsia="Yu Mincho" w:hAnsiTheme="minorBidi"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F87C04"/>
    <w:multiLevelType w:val="hybridMultilevel"/>
    <w:tmpl w:val="EDBE55F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734E58C1"/>
    <w:multiLevelType w:val="hybridMultilevel"/>
    <w:tmpl w:val="BA7828D0"/>
    <w:lvl w:ilvl="0" w:tplc="61A68470">
      <w:start w:val="1"/>
      <w:numFmt w:val="lowerLetter"/>
      <w:lvlText w:val="%1)"/>
      <w:lvlJc w:val="left"/>
      <w:pPr>
        <w:ind w:left="720" w:hanging="360"/>
      </w:pPr>
      <w:rPr>
        <w:rFonts w:asciiTheme="minorBidi" w:eastAsia="Times New Roman" w:hAnsiTheme="minorBidi" w:cstheme="minorBidi"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B40203"/>
    <w:multiLevelType w:val="hybridMultilevel"/>
    <w:tmpl w:val="5A42212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9" w15:restartNumberingAfterBreak="0">
    <w:nsid w:val="7FC20B6B"/>
    <w:multiLevelType w:val="hybridMultilevel"/>
    <w:tmpl w:val="36A6E23E"/>
    <w:lvl w:ilvl="0" w:tplc="E356DA8E">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16cid:durableId="822628298">
    <w:abstractNumId w:val="21"/>
  </w:num>
  <w:num w:numId="2" w16cid:durableId="699629408">
    <w:abstractNumId w:val="13"/>
  </w:num>
  <w:num w:numId="3" w16cid:durableId="164177712">
    <w:abstractNumId w:val="7"/>
  </w:num>
  <w:num w:numId="4" w16cid:durableId="1416590798">
    <w:abstractNumId w:val="27"/>
  </w:num>
  <w:num w:numId="5" w16cid:durableId="1762608160">
    <w:abstractNumId w:val="23"/>
  </w:num>
  <w:num w:numId="6" w16cid:durableId="2146270374">
    <w:abstractNumId w:val="3"/>
  </w:num>
  <w:num w:numId="7" w16cid:durableId="1113592211">
    <w:abstractNumId w:val="8"/>
  </w:num>
  <w:num w:numId="8" w16cid:durableId="1920598164">
    <w:abstractNumId w:val="18"/>
  </w:num>
  <w:num w:numId="9" w16cid:durableId="1533764642">
    <w:abstractNumId w:val="12"/>
  </w:num>
  <w:num w:numId="10" w16cid:durableId="1246129">
    <w:abstractNumId w:val="14"/>
  </w:num>
  <w:num w:numId="11" w16cid:durableId="111829808">
    <w:abstractNumId w:val="17"/>
  </w:num>
  <w:num w:numId="12" w16cid:durableId="1088770206">
    <w:abstractNumId w:val="15"/>
  </w:num>
  <w:num w:numId="13" w16cid:durableId="1263951029">
    <w:abstractNumId w:val="28"/>
  </w:num>
  <w:num w:numId="14" w16cid:durableId="395903570">
    <w:abstractNumId w:val="9"/>
  </w:num>
  <w:num w:numId="15" w16cid:durableId="1857570918">
    <w:abstractNumId w:val="12"/>
  </w:num>
  <w:num w:numId="16" w16cid:durableId="248199808">
    <w:abstractNumId w:val="12"/>
  </w:num>
  <w:num w:numId="17" w16cid:durableId="350380342">
    <w:abstractNumId w:val="12"/>
  </w:num>
  <w:num w:numId="18" w16cid:durableId="944581980">
    <w:abstractNumId w:val="12"/>
  </w:num>
  <w:num w:numId="19" w16cid:durableId="772675100">
    <w:abstractNumId w:val="12"/>
  </w:num>
  <w:num w:numId="20" w16cid:durableId="1253010311">
    <w:abstractNumId w:val="12"/>
  </w:num>
  <w:num w:numId="21" w16cid:durableId="540821319">
    <w:abstractNumId w:val="5"/>
  </w:num>
  <w:num w:numId="22" w16cid:durableId="2046514942">
    <w:abstractNumId w:val="12"/>
  </w:num>
  <w:num w:numId="23" w16cid:durableId="2013603031">
    <w:abstractNumId w:val="2"/>
  </w:num>
  <w:num w:numId="24" w16cid:durableId="228002203">
    <w:abstractNumId w:val="11"/>
  </w:num>
  <w:num w:numId="25" w16cid:durableId="680619780">
    <w:abstractNumId w:val="24"/>
  </w:num>
  <w:num w:numId="26" w16cid:durableId="1347095167">
    <w:abstractNumId w:val="12"/>
    <w:lvlOverride w:ilvl="0">
      <w:startOverride w:val="1"/>
    </w:lvlOverride>
  </w:num>
  <w:num w:numId="27" w16cid:durableId="565459000">
    <w:abstractNumId w:val="12"/>
    <w:lvlOverride w:ilvl="0">
      <w:startOverride w:val="1"/>
    </w:lvlOverride>
  </w:num>
  <w:num w:numId="28" w16cid:durableId="458453169">
    <w:abstractNumId w:val="12"/>
  </w:num>
  <w:num w:numId="29" w16cid:durableId="334380643">
    <w:abstractNumId w:val="12"/>
  </w:num>
  <w:num w:numId="30" w16cid:durableId="1019117349">
    <w:abstractNumId w:val="22"/>
  </w:num>
  <w:num w:numId="31" w16cid:durableId="2141457937">
    <w:abstractNumId w:val="19"/>
  </w:num>
  <w:num w:numId="32" w16cid:durableId="1347245547">
    <w:abstractNumId w:val="29"/>
  </w:num>
  <w:num w:numId="33" w16cid:durableId="1061052330">
    <w:abstractNumId w:val="20"/>
  </w:num>
  <w:num w:numId="34" w16cid:durableId="974944852">
    <w:abstractNumId w:val="4"/>
  </w:num>
  <w:num w:numId="35" w16cid:durableId="1830368694">
    <w:abstractNumId w:val="0"/>
  </w:num>
  <w:num w:numId="36" w16cid:durableId="1793017941">
    <w:abstractNumId w:val="16"/>
  </w:num>
  <w:num w:numId="37" w16cid:durableId="1669088779">
    <w:abstractNumId w:val="12"/>
  </w:num>
  <w:num w:numId="38" w16cid:durableId="1031341962">
    <w:abstractNumId w:val="12"/>
  </w:num>
  <w:num w:numId="39" w16cid:durableId="1924873158">
    <w:abstractNumId w:val="1"/>
  </w:num>
  <w:num w:numId="40" w16cid:durableId="1065565423">
    <w:abstractNumId w:val="25"/>
  </w:num>
  <w:num w:numId="41" w16cid:durableId="763845828">
    <w:abstractNumId w:val="10"/>
  </w:num>
  <w:num w:numId="42" w16cid:durableId="46224305">
    <w:abstractNumId w:val="12"/>
  </w:num>
  <w:num w:numId="43" w16cid:durableId="1608197585">
    <w:abstractNumId w:val="26"/>
  </w:num>
  <w:num w:numId="44" w16cid:durableId="1016427180">
    <w:abstractNumId w:val="6"/>
  </w:num>
  <w:num w:numId="45" w16cid:durableId="1692760843">
    <w:abstractNumId w:val="15"/>
  </w:num>
  <w:num w:numId="46" w16cid:durableId="4721378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14CE0"/>
    <w:rsid w:val="0001559E"/>
    <w:rsid w:val="00041A66"/>
    <w:rsid w:val="00042D88"/>
    <w:rsid w:val="00046A7A"/>
    <w:rsid w:val="0005176E"/>
    <w:rsid w:val="000631F9"/>
    <w:rsid w:val="00063D10"/>
    <w:rsid w:val="00063F63"/>
    <w:rsid w:val="00064BC5"/>
    <w:rsid w:val="00067631"/>
    <w:rsid w:val="00071766"/>
    <w:rsid w:val="000765F7"/>
    <w:rsid w:val="0007725F"/>
    <w:rsid w:val="00077AB7"/>
    <w:rsid w:val="00081CD8"/>
    <w:rsid w:val="000A7F0E"/>
    <w:rsid w:val="000B1C8F"/>
    <w:rsid w:val="000B6FE4"/>
    <w:rsid w:val="000C0D61"/>
    <w:rsid w:val="000D16F7"/>
    <w:rsid w:val="000D7577"/>
    <w:rsid w:val="000E2AD4"/>
    <w:rsid w:val="000F3A3F"/>
    <w:rsid w:val="00102557"/>
    <w:rsid w:val="0010351D"/>
    <w:rsid w:val="00135E87"/>
    <w:rsid w:val="00146E40"/>
    <w:rsid w:val="00147A38"/>
    <w:rsid w:val="0015781C"/>
    <w:rsid w:val="00164D56"/>
    <w:rsid w:val="00167B10"/>
    <w:rsid w:val="0017402F"/>
    <w:rsid w:val="00190205"/>
    <w:rsid w:val="00190D9E"/>
    <w:rsid w:val="001945CF"/>
    <w:rsid w:val="0019673B"/>
    <w:rsid w:val="00196C1B"/>
    <w:rsid w:val="001A409F"/>
    <w:rsid w:val="001B0F73"/>
    <w:rsid w:val="001B4B7E"/>
    <w:rsid w:val="001C2DB7"/>
    <w:rsid w:val="001D14FE"/>
    <w:rsid w:val="001D5C04"/>
    <w:rsid w:val="001F26CF"/>
    <w:rsid w:val="001F6286"/>
    <w:rsid w:val="00202E72"/>
    <w:rsid w:val="002175DF"/>
    <w:rsid w:val="00222A2D"/>
    <w:rsid w:val="00223029"/>
    <w:rsid w:val="002247F2"/>
    <w:rsid w:val="0023269C"/>
    <w:rsid w:val="00234745"/>
    <w:rsid w:val="002351A6"/>
    <w:rsid w:val="002354AB"/>
    <w:rsid w:val="002379EC"/>
    <w:rsid w:val="00240043"/>
    <w:rsid w:val="002407AF"/>
    <w:rsid w:val="00245501"/>
    <w:rsid w:val="00254B26"/>
    <w:rsid w:val="0026221A"/>
    <w:rsid w:val="00267D64"/>
    <w:rsid w:val="0027466B"/>
    <w:rsid w:val="00276DE9"/>
    <w:rsid w:val="002814F6"/>
    <w:rsid w:val="002838A5"/>
    <w:rsid w:val="00285749"/>
    <w:rsid w:val="00285BB4"/>
    <w:rsid w:val="00293DF9"/>
    <w:rsid w:val="002C09E3"/>
    <w:rsid w:val="002C6A2C"/>
    <w:rsid w:val="002D1244"/>
    <w:rsid w:val="002D5023"/>
    <w:rsid w:val="002E0E56"/>
    <w:rsid w:val="002E1F29"/>
    <w:rsid w:val="00337CEB"/>
    <w:rsid w:val="00344B58"/>
    <w:rsid w:val="0034539A"/>
    <w:rsid w:val="00345CB4"/>
    <w:rsid w:val="00375D42"/>
    <w:rsid w:val="0037663E"/>
    <w:rsid w:val="00381294"/>
    <w:rsid w:val="003974A4"/>
    <w:rsid w:val="003A219E"/>
    <w:rsid w:val="003C2707"/>
    <w:rsid w:val="003D069C"/>
    <w:rsid w:val="003D1600"/>
    <w:rsid w:val="003D7646"/>
    <w:rsid w:val="003E5457"/>
    <w:rsid w:val="003F113A"/>
    <w:rsid w:val="003F138E"/>
    <w:rsid w:val="003F3E63"/>
    <w:rsid w:val="00407480"/>
    <w:rsid w:val="00414643"/>
    <w:rsid w:val="0042269F"/>
    <w:rsid w:val="00424E74"/>
    <w:rsid w:val="00425FC0"/>
    <w:rsid w:val="004313C4"/>
    <w:rsid w:val="0043793C"/>
    <w:rsid w:val="004413A4"/>
    <w:rsid w:val="004421E5"/>
    <w:rsid w:val="00446602"/>
    <w:rsid w:val="00452284"/>
    <w:rsid w:val="004571CA"/>
    <w:rsid w:val="00457C8E"/>
    <w:rsid w:val="004614CB"/>
    <w:rsid w:val="00474C4A"/>
    <w:rsid w:val="00480175"/>
    <w:rsid w:val="004830F4"/>
    <w:rsid w:val="00483D98"/>
    <w:rsid w:val="004856CA"/>
    <w:rsid w:val="00487E67"/>
    <w:rsid w:val="004906B7"/>
    <w:rsid w:val="0049705E"/>
    <w:rsid w:val="004A2875"/>
    <w:rsid w:val="004A34A0"/>
    <w:rsid w:val="004A55F2"/>
    <w:rsid w:val="004C7C82"/>
    <w:rsid w:val="004D09C0"/>
    <w:rsid w:val="004E78CB"/>
    <w:rsid w:val="005008A8"/>
    <w:rsid w:val="00510B85"/>
    <w:rsid w:val="00510E6E"/>
    <w:rsid w:val="00517FD8"/>
    <w:rsid w:val="00520981"/>
    <w:rsid w:val="00525F72"/>
    <w:rsid w:val="00526B7B"/>
    <w:rsid w:val="005274D2"/>
    <w:rsid w:val="005308CE"/>
    <w:rsid w:val="0053318C"/>
    <w:rsid w:val="0054535F"/>
    <w:rsid w:val="005633CF"/>
    <w:rsid w:val="00566DC0"/>
    <w:rsid w:val="005734A4"/>
    <w:rsid w:val="00573ED2"/>
    <w:rsid w:val="0057439C"/>
    <w:rsid w:val="0059118D"/>
    <w:rsid w:val="005960FA"/>
    <w:rsid w:val="005A2433"/>
    <w:rsid w:val="005A6703"/>
    <w:rsid w:val="005A74ED"/>
    <w:rsid w:val="005B0127"/>
    <w:rsid w:val="005B7A35"/>
    <w:rsid w:val="005C4B73"/>
    <w:rsid w:val="005C792B"/>
    <w:rsid w:val="005E1D2B"/>
    <w:rsid w:val="005E1D7C"/>
    <w:rsid w:val="005E7074"/>
    <w:rsid w:val="005F15CD"/>
    <w:rsid w:val="005F2BAF"/>
    <w:rsid w:val="005F5AC5"/>
    <w:rsid w:val="00600D93"/>
    <w:rsid w:val="00602A43"/>
    <w:rsid w:val="00605157"/>
    <w:rsid w:val="00605416"/>
    <w:rsid w:val="00611325"/>
    <w:rsid w:val="0061635A"/>
    <w:rsid w:val="00626BEA"/>
    <w:rsid w:val="006307FB"/>
    <w:rsid w:val="00632D63"/>
    <w:rsid w:val="0063300C"/>
    <w:rsid w:val="0064071E"/>
    <w:rsid w:val="006452A1"/>
    <w:rsid w:val="00651A5B"/>
    <w:rsid w:val="00655736"/>
    <w:rsid w:val="00657F05"/>
    <w:rsid w:val="00663B8D"/>
    <w:rsid w:val="006704B3"/>
    <w:rsid w:val="00690AF7"/>
    <w:rsid w:val="006969E3"/>
    <w:rsid w:val="00696C68"/>
    <w:rsid w:val="00696C8D"/>
    <w:rsid w:val="006A2AC2"/>
    <w:rsid w:val="006A3617"/>
    <w:rsid w:val="006B4452"/>
    <w:rsid w:val="006C6625"/>
    <w:rsid w:val="006D2DF9"/>
    <w:rsid w:val="006E46E4"/>
    <w:rsid w:val="006E75EB"/>
    <w:rsid w:val="0070658D"/>
    <w:rsid w:val="00717DA5"/>
    <w:rsid w:val="00731CC4"/>
    <w:rsid w:val="007333D0"/>
    <w:rsid w:val="00734E47"/>
    <w:rsid w:val="0073772F"/>
    <w:rsid w:val="007407CE"/>
    <w:rsid w:val="00744484"/>
    <w:rsid w:val="00747566"/>
    <w:rsid w:val="00773188"/>
    <w:rsid w:val="0077591C"/>
    <w:rsid w:val="007821B3"/>
    <w:rsid w:val="00783782"/>
    <w:rsid w:val="00784B8C"/>
    <w:rsid w:val="007879E1"/>
    <w:rsid w:val="007941AA"/>
    <w:rsid w:val="007A14FD"/>
    <w:rsid w:val="007A2408"/>
    <w:rsid w:val="007A78BD"/>
    <w:rsid w:val="007B6D03"/>
    <w:rsid w:val="007C7B15"/>
    <w:rsid w:val="007D3481"/>
    <w:rsid w:val="007E57AA"/>
    <w:rsid w:val="00802C15"/>
    <w:rsid w:val="00807F3A"/>
    <w:rsid w:val="008222B5"/>
    <w:rsid w:val="00823A11"/>
    <w:rsid w:val="0083535B"/>
    <w:rsid w:val="008451D0"/>
    <w:rsid w:val="008520A6"/>
    <w:rsid w:val="00852666"/>
    <w:rsid w:val="0085405E"/>
    <w:rsid w:val="0085414A"/>
    <w:rsid w:val="008567D8"/>
    <w:rsid w:val="00857EB9"/>
    <w:rsid w:val="0086269D"/>
    <w:rsid w:val="0086543A"/>
    <w:rsid w:val="008724E5"/>
    <w:rsid w:val="008725A6"/>
    <w:rsid w:val="008765C9"/>
    <w:rsid w:val="00884A9D"/>
    <w:rsid w:val="0088512B"/>
    <w:rsid w:val="00890CD4"/>
    <w:rsid w:val="008A289D"/>
    <w:rsid w:val="008A2B2D"/>
    <w:rsid w:val="008A4E1E"/>
    <w:rsid w:val="008A6458"/>
    <w:rsid w:val="008B3861"/>
    <w:rsid w:val="008C296C"/>
    <w:rsid w:val="008C75F1"/>
    <w:rsid w:val="008D2312"/>
    <w:rsid w:val="008D4305"/>
    <w:rsid w:val="008D45F4"/>
    <w:rsid w:val="008D6BA4"/>
    <w:rsid w:val="008E1A85"/>
    <w:rsid w:val="008E344F"/>
    <w:rsid w:val="008E5CA9"/>
    <w:rsid w:val="008F0A8B"/>
    <w:rsid w:val="00901307"/>
    <w:rsid w:val="00903443"/>
    <w:rsid w:val="00903F5C"/>
    <w:rsid w:val="009163A7"/>
    <w:rsid w:val="00937D53"/>
    <w:rsid w:val="00940217"/>
    <w:rsid w:val="00944EF1"/>
    <w:rsid w:val="00946D0B"/>
    <w:rsid w:val="009472DE"/>
    <w:rsid w:val="00955877"/>
    <w:rsid w:val="00962034"/>
    <w:rsid w:val="0096526A"/>
    <w:rsid w:val="00972E5B"/>
    <w:rsid w:val="009A18CD"/>
    <w:rsid w:val="009B0335"/>
    <w:rsid w:val="009B6E30"/>
    <w:rsid w:val="009C35E6"/>
    <w:rsid w:val="009D52DC"/>
    <w:rsid w:val="009D5428"/>
    <w:rsid w:val="009F16DD"/>
    <w:rsid w:val="00A12558"/>
    <w:rsid w:val="00A13903"/>
    <w:rsid w:val="00A24981"/>
    <w:rsid w:val="00A27FA0"/>
    <w:rsid w:val="00A32A66"/>
    <w:rsid w:val="00A34ED5"/>
    <w:rsid w:val="00A37599"/>
    <w:rsid w:val="00A45DBF"/>
    <w:rsid w:val="00A64F7D"/>
    <w:rsid w:val="00A725CF"/>
    <w:rsid w:val="00A755A2"/>
    <w:rsid w:val="00A91430"/>
    <w:rsid w:val="00AA1AF5"/>
    <w:rsid w:val="00AA590D"/>
    <w:rsid w:val="00AA6660"/>
    <w:rsid w:val="00AA70D8"/>
    <w:rsid w:val="00AA7347"/>
    <w:rsid w:val="00AB2C36"/>
    <w:rsid w:val="00AB6DDE"/>
    <w:rsid w:val="00AB70B6"/>
    <w:rsid w:val="00AC18C1"/>
    <w:rsid w:val="00AD0E4E"/>
    <w:rsid w:val="00AD1A86"/>
    <w:rsid w:val="00AD50A7"/>
    <w:rsid w:val="00AD5C46"/>
    <w:rsid w:val="00AE103E"/>
    <w:rsid w:val="00AF0A07"/>
    <w:rsid w:val="00AF4AEC"/>
    <w:rsid w:val="00AF625E"/>
    <w:rsid w:val="00B139BE"/>
    <w:rsid w:val="00B1495F"/>
    <w:rsid w:val="00B2172B"/>
    <w:rsid w:val="00B221A1"/>
    <w:rsid w:val="00B33004"/>
    <w:rsid w:val="00B34428"/>
    <w:rsid w:val="00B65409"/>
    <w:rsid w:val="00B8062D"/>
    <w:rsid w:val="00B86EDE"/>
    <w:rsid w:val="00B917D2"/>
    <w:rsid w:val="00B92063"/>
    <w:rsid w:val="00B97EB3"/>
    <w:rsid w:val="00BA241A"/>
    <w:rsid w:val="00BA5FB6"/>
    <w:rsid w:val="00BB04AF"/>
    <w:rsid w:val="00BB4607"/>
    <w:rsid w:val="00BB6EEC"/>
    <w:rsid w:val="00BC5703"/>
    <w:rsid w:val="00BD52C9"/>
    <w:rsid w:val="00BE6354"/>
    <w:rsid w:val="00BF1E93"/>
    <w:rsid w:val="00BF75FC"/>
    <w:rsid w:val="00C11E9A"/>
    <w:rsid w:val="00C138D1"/>
    <w:rsid w:val="00C20EA2"/>
    <w:rsid w:val="00C23A97"/>
    <w:rsid w:val="00C46770"/>
    <w:rsid w:val="00C52EBE"/>
    <w:rsid w:val="00C5652F"/>
    <w:rsid w:val="00C5776D"/>
    <w:rsid w:val="00C64855"/>
    <w:rsid w:val="00C70EA7"/>
    <w:rsid w:val="00C7433F"/>
    <w:rsid w:val="00C7516E"/>
    <w:rsid w:val="00C75770"/>
    <w:rsid w:val="00CA56BB"/>
    <w:rsid w:val="00CB0542"/>
    <w:rsid w:val="00CB4318"/>
    <w:rsid w:val="00CC7F90"/>
    <w:rsid w:val="00CD437B"/>
    <w:rsid w:val="00D00B2B"/>
    <w:rsid w:val="00D11ABD"/>
    <w:rsid w:val="00D17348"/>
    <w:rsid w:val="00D20D37"/>
    <w:rsid w:val="00D24877"/>
    <w:rsid w:val="00D27E95"/>
    <w:rsid w:val="00D3202B"/>
    <w:rsid w:val="00D57F7C"/>
    <w:rsid w:val="00D63318"/>
    <w:rsid w:val="00D7105A"/>
    <w:rsid w:val="00D7351D"/>
    <w:rsid w:val="00D8250F"/>
    <w:rsid w:val="00D86BB3"/>
    <w:rsid w:val="00D937DE"/>
    <w:rsid w:val="00D95C4C"/>
    <w:rsid w:val="00D974AC"/>
    <w:rsid w:val="00DA2EF5"/>
    <w:rsid w:val="00DA36ED"/>
    <w:rsid w:val="00DA76A4"/>
    <w:rsid w:val="00DC49CB"/>
    <w:rsid w:val="00DE34F1"/>
    <w:rsid w:val="00DE6160"/>
    <w:rsid w:val="00DF032F"/>
    <w:rsid w:val="00DF4942"/>
    <w:rsid w:val="00E2125F"/>
    <w:rsid w:val="00E235C4"/>
    <w:rsid w:val="00E244E1"/>
    <w:rsid w:val="00E271C5"/>
    <w:rsid w:val="00E4150C"/>
    <w:rsid w:val="00E627B1"/>
    <w:rsid w:val="00E70169"/>
    <w:rsid w:val="00E9376C"/>
    <w:rsid w:val="00E95AE2"/>
    <w:rsid w:val="00EA335E"/>
    <w:rsid w:val="00EA528C"/>
    <w:rsid w:val="00EA580C"/>
    <w:rsid w:val="00EB42F8"/>
    <w:rsid w:val="00EB4C96"/>
    <w:rsid w:val="00EC6F8D"/>
    <w:rsid w:val="00ED3519"/>
    <w:rsid w:val="00ED39B2"/>
    <w:rsid w:val="00EE49F4"/>
    <w:rsid w:val="00EF34E2"/>
    <w:rsid w:val="00F24FD6"/>
    <w:rsid w:val="00F30DC6"/>
    <w:rsid w:val="00F31F96"/>
    <w:rsid w:val="00F32C23"/>
    <w:rsid w:val="00F53DE9"/>
    <w:rsid w:val="00F5428B"/>
    <w:rsid w:val="00F5593C"/>
    <w:rsid w:val="00F576CB"/>
    <w:rsid w:val="00F7035D"/>
    <w:rsid w:val="00F70CC5"/>
    <w:rsid w:val="00F71A02"/>
    <w:rsid w:val="00F864C1"/>
    <w:rsid w:val="00FA030C"/>
    <w:rsid w:val="00FA0D63"/>
    <w:rsid w:val="00FA3C87"/>
    <w:rsid w:val="00FB724D"/>
    <w:rsid w:val="00FC5A33"/>
    <w:rsid w:val="00FD1226"/>
    <w:rsid w:val="00FD4BC8"/>
    <w:rsid w:val="00FE216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ES"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07FB"/>
    <w:rPr>
      <w:rFonts w:ascii="Times New Roman" w:eastAsia="Times New Roman" w:hAnsi="Times New Roman"/>
      <w:sz w:val="24"/>
      <w:szCs w:val="24"/>
    </w:rPr>
  </w:style>
  <w:style w:type="paragraph" w:styleId="Titre2">
    <w:name w:val="heading 2"/>
    <w:basedOn w:val="Normal"/>
    <w:next w:val="Normal"/>
    <w:link w:val="Titre2Car"/>
    <w:uiPriority w:val="9"/>
    <w:rsid w:val="00564DDB"/>
    <w:pPr>
      <w:keepNext/>
      <w:spacing w:before="240" w:after="60"/>
      <w:outlineLvl w:val="1"/>
    </w:pPr>
    <w:rPr>
      <w:rFonts w:ascii="Cambria" w:hAnsi="Cambria"/>
      <w:b/>
      <w:bCs/>
      <w:i/>
      <w:iCs/>
      <w:sz w:val="28"/>
      <w:szCs w:val="28"/>
    </w:rPr>
  </w:style>
  <w:style w:type="paragraph" w:styleId="Titre4">
    <w:name w:val="heading 4"/>
    <w:aliases w:val="COM Heading"/>
    <w:basedOn w:val="Normal"/>
    <w:next w:val="Normal"/>
    <w:link w:val="Titre4Car"/>
    <w:qFormat/>
    <w:rsid w:val="00F71A02"/>
    <w:pPr>
      <w:keepNext/>
      <w:keepLines/>
      <w:numPr>
        <w:numId w:val="12"/>
      </w:numPr>
      <w:tabs>
        <w:tab w:val="left" w:pos="567"/>
      </w:tabs>
      <w:snapToGrid w:val="0"/>
      <w:spacing w:after="240"/>
      <w:outlineLvl w:val="3"/>
    </w:pPr>
    <w:rPr>
      <w:rFonts w:ascii="Arial" w:hAnsi="Arial"/>
      <w:b/>
      <w:bCs/>
      <w:snapToGrid w:val="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724E5"/>
    <w:pPr>
      <w:tabs>
        <w:tab w:val="center" w:pos="4536"/>
        <w:tab w:val="right" w:pos="9072"/>
      </w:tabs>
    </w:pPr>
  </w:style>
  <w:style w:type="character" w:customStyle="1" w:styleId="En-tteCar">
    <w:name w:val="En-tête Car"/>
    <w:link w:val="En-tte"/>
    <w:rsid w:val="008724E5"/>
    <w:rPr>
      <w:lang w:val="es-ES"/>
    </w:rPr>
  </w:style>
  <w:style w:type="paragraph" w:styleId="Pieddepage">
    <w:name w:val="footer"/>
    <w:basedOn w:val="Normal"/>
    <w:link w:val="PieddepageCar"/>
    <w:uiPriority w:val="99"/>
    <w:unhideWhenUsed/>
    <w:rsid w:val="008724E5"/>
    <w:pPr>
      <w:tabs>
        <w:tab w:val="center" w:pos="4536"/>
        <w:tab w:val="right" w:pos="9072"/>
      </w:tabs>
    </w:pPr>
  </w:style>
  <w:style w:type="character" w:customStyle="1" w:styleId="PieddepageCar">
    <w:name w:val="Pied de page Car"/>
    <w:link w:val="Pieddepage"/>
    <w:uiPriority w:val="99"/>
    <w:rsid w:val="008724E5"/>
    <w:rPr>
      <w:lang w:val="es-ES"/>
    </w:rPr>
  </w:style>
  <w:style w:type="paragraph" w:styleId="Textedebulles">
    <w:name w:val="Balloon Text"/>
    <w:basedOn w:val="Normal"/>
    <w:link w:val="TextedebullesCar"/>
    <w:uiPriority w:val="99"/>
    <w:semiHidden/>
    <w:unhideWhenUsed/>
    <w:rsid w:val="008724E5"/>
    <w:rPr>
      <w:rFonts w:ascii="Tahoma" w:hAnsi="Tahoma" w:cs="Tahoma"/>
      <w:sz w:val="16"/>
      <w:szCs w:val="16"/>
    </w:rPr>
  </w:style>
  <w:style w:type="character" w:customStyle="1" w:styleId="TextedebullesCar">
    <w:name w:val="Texte de bulles Car"/>
    <w:link w:val="Textedebulles"/>
    <w:uiPriority w:val="99"/>
    <w:semiHidden/>
    <w:rsid w:val="008724E5"/>
    <w:rPr>
      <w:rFonts w:ascii="Tahoma" w:hAnsi="Tahoma" w:cs="Tahoma"/>
      <w:sz w:val="16"/>
      <w:szCs w:val="16"/>
      <w:lang w:val="es-ES"/>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Grilledutableau">
    <w:name w:val="Table Grid"/>
    <w:basedOn w:val="TableauNormal"/>
    <w:uiPriority w:val="3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rodepage">
    <w:name w:val="page number"/>
    <w:basedOn w:val="Policepardfaut"/>
    <w:semiHidden/>
    <w:rsid w:val="00EF563B"/>
  </w:style>
  <w:style w:type="character" w:customStyle="1" w:styleId="Titre4Car">
    <w:name w:val="Titre 4 Car"/>
    <w:aliases w:val="COM Heading Car"/>
    <w:link w:val="Titre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Titre2Car">
    <w:name w:val="Titre 2 Car"/>
    <w:link w:val="Titre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Policepardfaut"/>
    <w:rsid w:val="00564DDB"/>
  </w:style>
  <w:style w:type="character" w:customStyle="1" w:styleId="apple-converted-space">
    <w:name w:val="apple-converted-space"/>
    <w:basedOn w:val="Policepardfau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rPr>
  </w:style>
  <w:style w:type="table" w:customStyle="1" w:styleId="TableGrid1">
    <w:name w:val="Table Grid1"/>
    <w:basedOn w:val="TableauNormal"/>
    <w:next w:val="Grilledutableau"/>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CRITERES"/>
    <w:basedOn w:val="Normal"/>
    <w:uiPriority w:val="34"/>
    <w:qFormat/>
    <w:rsid w:val="004A2875"/>
    <w:pPr>
      <w:ind w:left="720"/>
      <w:contextualSpacing/>
    </w:pPr>
  </w:style>
  <w:style w:type="paragraph" w:styleId="Notedebasdepage">
    <w:name w:val="footnote text"/>
    <w:basedOn w:val="Normal"/>
    <w:link w:val="NotedebasdepageCar"/>
    <w:uiPriority w:val="99"/>
    <w:unhideWhenUsed/>
    <w:rsid w:val="004313C4"/>
    <w:rPr>
      <w:sz w:val="20"/>
      <w:szCs w:val="20"/>
    </w:rPr>
  </w:style>
  <w:style w:type="character" w:customStyle="1" w:styleId="NotedebasdepageCar">
    <w:name w:val="Note de bas de page Car"/>
    <w:basedOn w:val="Policepardfaut"/>
    <w:link w:val="Notedebasdepage"/>
    <w:uiPriority w:val="99"/>
    <w:rsid w:val="004313C4"/>
    <w:rPr>
      <w:rFonts w:ascii="Times New Roman" w:eastAsia="Times New Roman" w:hAnsi="Times New Roman"/>
    </w:rPr>
  </w:style>
  <w:style w:type="character" w:styleId="Appelnotedebasdep">
    <w:name w:val="footnote reference"/>
    <w:basedOn w:val="Policepardfaut"/>
    <w:uiPriority w:val="99"/>
    <w:semiHidden/>
    <w:unhideWhenUsed/>
    <w:rsid w:val="004313C4"/>
    <w:rPr>
      <w:vertAlign w:val="superscript"/>
    </w:rPr>
  </w:style>
  <w:style w:type="paragraph" w:customStyle="1" w:styleId="GAParaResolution">
    <w:name w:val="GA Para Resolution"/>
    <w:basedOn w:val="Normal"/>
    <w:qFormat/>
    <w:rsid w:val="005C792B"/>
    <w:pPr>
      <w:autoSpaceDE w:val="0"/>
      <w:autoSpaceDN w:val="0"/>
      <w:adjustRightInd w:val="0"/>
      <w:spacing w:after="120"/>
      <w:ind w:left="1287" w:hanging="360"/>
      <w:jc w:val="both"/>
    </w:pPr>
    <w:rPr>
      <w:rFonts w:ascii="Arial" w:eastAsia="SimSun" w:hAnsi="Arial" w:cs="Arial"/>
      <w:sz w:val="22"/>
      <w:szCs w:val="22"/>
      <w:u w:val="single"/>
    </w:rPr>
  </w:style>
  <w:style w:type="character" w:styleId="Lienhypertexte">
    <w:name w:val="Hyperlink"/>
    <w:aliases w:val=" Car Car3 Char, Car Car3 Char Char Char Char"/>
    <w:basedOn w:val="Policepardfaut"/>
    <w:link w:val="CarCar3"/>
    <w:uiPriority w:val="99"/>
    <w:unhideWhenUsed/>
    <w:rsid w:val="0043793C"/>
    <w:rPr>
      <w:color w:val="0000FF" w:themeColor="hyperlink"/>
      <w:u w:val="single"/>
    </w:rPr>
  </w:style>
  <w:style w:type="character" w:styleId="Mentionnonrsolue">
    <w:name w:val="Unresolved Mention"/>
    <w:basedOn w:val="Policepardfaut"/>
    <w:uiPriority w:val="99"/>
    <w:semiHidden/>
    <w:unhideWhenUsed/>
    <w:rsid w:val="0043793C"/>
    <w:rPr>
      <w:color w:val="605E5C"/>
      <w:shd w:val="clear" w:color="auto" w:fill="E1DFDD"/>
    </w:rPr>
  </w:style>
  <w:style w:type="character" w:styleId="Lienhypertextesuivivisit">
    <w:name w:val="FollowedHyperlink"/>
    <w:basedOn w:val="Policepardfaut"/>
    <w:uiPriority w:val="99"/>
    <w:semiHidden/>
    <w:unhideWhenUsed/>
    <w:rsid w:val="007B6D03"/>
    <w:rPr>
      <w:color w:val="800080" w:themeColor="followedHyperlink"/>
      <w:u w:val="single"/>
    </w:rPr>
  </w:style>
  <w:style w:type="table" w:customStyle="1" w:styleId="Grilledutableau2">
    <w:name w:val="Grille du tableau2"/>
    <w:basedOn w:val="TableauNormal"/>
    <w:next w:val="Grilledutableau"/>
    <w:uiPriority w:val="39"/>
    <w:rsid w:val="007B6D03"/>
    <w:rPr>
      <w:rFonts w:eastAsia="Yu Mincho" w:cs="Arial"/>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Para">
    <w:name w:val="GA Para"/>
    <w:qFormat/>
    <w:rsid w:val="00046A7A"/>
    <w:pPr>
      <w:spacing w:after="120"/>
      <w:ind w:left="720" w:hanging="360"/>
    </w:pPr>
    <w:rPr>
      <w:rFonts w:ascii="Arial" w:eastAsia="Times New Roman" w:hAnsi="Arial" w:cs="Arial"/>
      <w:snapToGrid w:val="0"/>
      <w:sz w:val="22"/>
      <w:szCs w:val="22"/>
      <w:lang w:eastAsia="en-US"/>
    </w:rPr>
  </w:style>
  <w:style w:type="paragraph" w:customStyle="1" w:styleId="CarCar3">
    <w:name w:val="Car Car3"/>
    <w:aliases w:val=" Car Car3 Char Char"/>
    <w:basedOn w:val="Normal"/>
    <w:link w:val="Lienhypertexte"/>
    <w:uiPriority w:val="99"/>
    <w:rsid w:val="00046A7A"/>
    <w:pPr>
      <w:tabs>
        <w:tab w:val="left" w:pos="510"/>
        <w:tab w:val="right" w:pos="9639"/>
      </w:tabs>
      <w:autoSpaceDE w:val="0"/>
      <w:autoSpaceDN w:val="0"/>
      <w:adjustRightInd w:val="0"/>
      <w:spacing w:after="80" w:line="220" w:lineRule="exact"/>
      <w:ind w:left="1020" w:hanging="510"/>
      <w:jc w:val="both"/>
    </w:pPr>
    <w:rPr>
      <w:rFonts w:ascii="Calibri" w:eastAsia="SimSun" w:hAnsi="Calibri"/>
      <w:color w:val="0000FF" w:themeColor="hyperlink"/>
      <w:sz w:val="20"/>
      <w:szCs w:val="20"/>
      <w:u w:val="single"/>
    </w:rPr>
  </w:style>
  <w:style w:type="paragraph" w:customStyle="1" w:styleId="Style1">
    <w:name w:val="Style1"/>
    <w:basedOn w:val="Normal"/>
    <w:rsid w:val="00146E40"/>
    <w:pPr>
      <w:pBdr>
        <w:top w:val="nil"/>
        <w:left w:val="nil"/>
        <w:bottom w:val="nil"/>
        <w:right w:val="nil"/>
        <w:between w:val="nil"/>
        <w:bar w:val="nil"/>
      </w:pBdr>
      <w:spacing w:before="120" w:after="240"/>
      <w:ind w:left="567" w:hanging="567"/>
      <w:jc w:val="both"/>
    </w:pPr>
    <w:rPr>
      <w:rFonts w:ascii="Arial" w:hAnsi="Arial" w:cs="Arial"/>
      <w:snapToGrid w:val="0"/>
      <w:sz w:val="22"/>
      <w:szCs w:val="22"/>
      <w:lang w:eastAsia="en-US"/>
    </w:rPr>
  </w:style>
  <w:style w:type="paragraph" w:styleId="Rvision">
    <w:name w:val="Revision"/>
    <w:hidden/>
    <w:uiPriority w:val="99"/>
    <w:semiHidden/>
    <w:rsid w:val="000D7577"/>
    <w:rPr>
      <w:rFonts w:ascii="Times New Roman" w:eastAsia="Times New Roman" w:hAnsi="Times New Roman"/>
      <w:sz w:val="24"/>
      <w:szCs w:val="24"/>
    </w:rPr>
  </w:style>
  <w:style w:type="character" w:customStyle="1" w:styleId="Aucun">
    <w:name w:val="Aucun"/>
    <w:rsid w:val="00381294"/>
    <w:rPr>
      <w:lang w:val="es-ES"/>
    </w:rPr>
  </w:style>
  <w:style w:type="character" w:styleId="Marquedecommentaire">
    <w:name w:val="annotation reference"/>
    <w:basedOn w:val="Policepardfaut"/>
    <w:uiPriority w:val="99"/>
    <w:semiHidden/>
    <w:unhideWhenUsed/>
    <w:rsid w:val="007C7B15"/>
    <w:rPr>
      <w:sz w:val="16"/>
      <w:szCs w:val="16"/>
    </w:rPr>
  </w:style>
  <w:style w:type="paragraph" w:styleId="Commentaire">
    <w:name w:val="annotation text"/>
    <w:basedOn w:val="Normal"/>
    <w:link w:val="CommentaireCar"/>
    <w:uiPriority w:val="99"/>
    <w:unhideWhenUsed/>
    <w:rsid w:val="007C7B15"/>
    <w:rPr>
      <w:sz w:val="20"/>
      <w:szCs w:val="20"/>
    </w:rPr>
  </w:style>
  <w:style w:type="character" w:customStyle="1" w:styleId="CommentaireCar">
    <w:name w:val="Commentaire Car"/>
    <w:basedOn w:val="Policepardfaut"/>
    <w:link w:val="Commentaire"/>
    <w:uiPriority w:val="99"/>
    <w:rsid w:val="007C7B15"/>
    <w:rPr>
      <w:rFonts w:ascii="Times New Roman" w:eastAsia="Times New Roman" w:hAnsi="Times New Roman"/>
    </w:rPr>
  </w:style>
  <w:style w:type="paragraph" w:styleId="Objetducommentaire">
    <w:name w:val="annotation subject"/>
    <w:basedOn w:val="Commentaire"/>
    <w:next w:val="Commentaire"/>
    <w:link w:val="ObjetducommentaireCar"/>
    <w:uiPriority w:val="99"/>
    <w:semiHidden/>
    <w:unhideWhenUsed/>
    <w:rsid w:val="007C7B15"/>
    <w:rPr>
      <w:b/>
      <w:bCs/>
    </w:rPr>
  </w:style>
  <w:style w:type="character" w:customStyle="1" w:styleId="ObjetducommentaireCar">
    <w:name w:val="Objet du commentaire Car"/>
    <w:basedOn w:val="CommentaireCar"/>
    <w:link w:val="Objetducommentaire"/>
    <w:uiPriority w:val="99"/>
    <w:semiHidden/>
    <w:rsid w:val="007C7B15"/>
    <w:rPr>
      <w:rFonts w:ascii="Times New Roman" w:eastAsia="Times New Roman" w:hAnsi="Times New Roman"/>
      <w:b/>
      <w:bCs/>
    </w:rPr>
  </w:style>
  <w:style w:type="character" w:customStyle="1" w:styleId="hps">
    <w:name w:val="hps"/>
    <w:rsid w:val="006C6625"/>
  </w:style>
  <w:style w:type="paragraph" w:styleId="Corpsdetexte">
    <w:name w:val="Body Text"/>
    <w:basedOn w:val="Normal"/>
    <w:link w:val="CorpsdetexteCar"/>
    <w:uiPriority w:val="99"/>
    <w:unhideWhenUsed/>
    <w:rsid w:val="00D57F7C"/>
    <w:pPr>
      <w:widowControl w:val="0"/>
      <w:tabs>
        <w:tab w:val="left" w:pos="2127"/>
        <w:tab w:val="left" w:pos="2176"/>
      </w:tabs>
      <w:autoSpaceDE w:val="0"/>
      <w:autoSpaceDN w:val="0"/>
      <w:spacing w:before="60" w:after="60"/>
    </w:pPr>
    <w:rPr>
      <w:rFonts w:ascii="Calibri" w:eastAsia="Calibri" w:hAnsi="Calibri" w:cs="Calibri"/>
      <w:color w:val="231F20"/>
      <w:sz w:val="20"/>
      <w:szCs w:val="22"/>
      <w:lang w:eastAsia="en-US"/>
    </w:rPr>
  </w:style>
  <w:style w:type="character" w:customStyle="1" w:styleId="CorpsdetexteCar">
    <w:name w:val="Corps de texte Car"/>
    <w:basedOn w:val="Policepardfaut"/>
    <w:link w:val="Corpsdetexte"/>
    <w:uiPriority w:val="99"/>
    <w:rsid w:val="00D57F7C"/>
    <w:rPr>
      <w:rFonts w:eastAsia="Calibri" w:cs="Calibri"/>
      <w:color w:val="231F2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4512">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118724552">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608848219">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3-18.COM-11_EN.docx" TargetMode="External"/><Relationship Id="rId13" Type="http://schemas.openxmlformats.org/officeDocument/2006/relationships/hyperlink" Target="https://ich.unesco.org/doc/src/LHE-22-17.COM-10-EN.docx" TargetMode="External"/><Relationship Id="rId18" Type="http://schemas.openxmlformats.org/officeDocument/2006/relationships/hyperlink" Target="https://ich.unesco.org/en/decisions/18.COM/11" TargetMode="External"/><Relationship Id="rId26" Type="http://schemas.openxmlformats.org/officeDocument/2006/relationships/hyperlink" Target="https://ich.unesco.org/en/decisions/18.COM/10" TargetMode="External"/><Relationship Id="rId3" Type="http://schemas.openxmlformats.org/officeDocument/2006/relationships/styles" Target="styles.xml"/><Relationship Id="rId21" Type="http://schemas.openxmlformats.org/officeDocument/2006/relationships/hyperlink" Target="https://ich.unesco.org/en/decisions/18.COM/10" TargetMode="External"/><Relationship Id="rId7" Type="http://schemas.openxmlformats.org/officeDocument/2006/relationships/endnotes" Target="endnotes.xml"/><Relationship Id="rId12" Type="http://schemas.openxmlformats.org/officeDocument/2006/relationships/hyperlink" Target="https://ich.unesco.org/en/Decisions/16.COM/14" TargetMode="External"/><Relationship Id="rId17" Type="http://schemas.openxmlformats.org/officeDocument/2006/relationships/hyperlink" Target="https://ich.unesco.org/doc/src/LHE-23-EXP_ART18-4_EN.docx" TargetMode="External"/><Relationship Id="rId25" Type="http://schemas.openxmlformats.org/officeDocument/2006/relationships/hyperlink" Target="https://ich.unesco.org/en/Decisions/17.COM/7" TargetMode="External"/><Relationship Id="rId2" Type="http://schemas.openxmlformats.org/officeDocument/2006/relationships/numbering" Target="numbering.xml"/><Relationship Id="rId16" Type="http://schemas.openxmlformats.org/officeDocument/2006/relationships/hyperlink" Target="https://ich.unesco.org/doc/src/LHE-23-18.COM-11_EN.docx" TargetMode="External"/><Relationship Id="rId20" Type="http://schemas.openxmlformats.org/officeDocument/2006/relationships/hyperlink" Target="https://ich.unesco.org/en/Decisions/17.COM/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doc/src/LHE-22-9.GA-Resolutions-ES.docx" TargetMode="External"/><Relationship Id="rId24" Type="http://schemas.openxmlformats.org/officeDocument/2006/relationships/hyperlink" Target="https://ich.unesco.org/en/decisions/16.COM/1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h.unesco.org/doc/src/LHE-23-EXP_ART18-4_EN.docx" TargetMode="External"/><Relationship Id="rId23" Type="http://schemas.openxmlformats.org/officeDocument/2006/relationships/hyperlink" Target="https://ich.unesco.org/doc/src/LHE-22-9.GA-Resolutions-ES.docx" TargetMode="External"/><Relationship Id="rId28" Type="http://schemas.openxmlformats.org/officeDocument/2006/relationships/header" Target="header1.xml"/><Relationship Id="rId10" Type="http://schemas.openxmlformats.org/officeDocument/2006/relationships/hyperlink" Target="https://ich.unesco.org/en/Decisions/16.COM/14" TargetMode="External"/><Relationship Id="rId19" Type="http://schemas.openxmlformats.org/officeDocument/2006/relationships/hyperlink" Target="https://ich.unesco.org/doc/src/LHE-22-9.GA-Resolutions-ES.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h.unesco.org/en/decisions/18.COM/11" TargetMode="External"/><Relationship Id="rId14" Type="http://schemas.openxmlformats.org/officeDocument/2006/relationships/hyperlink" Target="https://ich.unesco.org/en/Decisions/17.COM/10" TargetMode="External"/><Relationship Id="rId22" Type="http://schemas.openxmlformats.org/officeDocument/2006/relationships/hyperlink" Target="https://ich.unesco.org/doc/src/LHE-24-10.GA-7_SP.docx" TargetMode="External"/><Relationship Id="rId27" Type="http://schemas.openxmlformats.org/officeDocument/2006/relationships/hyperlink" Target="https://ich.unesco.org/en/decisions/18.COM/11" TargetMode="Externa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ich.unesco.org/es/articulo-18-grupo-de-trabajo-intergubernamental-de-composicion-abierta-01307" TargetMode="External"/><Relationship Id="rId1" Type="http://schemas.openxmlformats.org/officeDocument/2006/relationships/hyperlink" Target="https://ich.unesco.org/es/reflexion-global-sobre-los-mecanismos-de-inscripcion-en-las-listas-0116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Template>
  <TotalTime>174</TotalTime>
  <Pages>7</Pages>
  <Words>3060</Words>
  <Characters>16830</Characters>
  <Application>Microsoft Office Word</Application>
  <DocSecurity>0</DocSecurity>
  <Lines>140</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19851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Glenat, Keiichi Julien</cp:lastModifiedBy>
  <cp:revision>64</cp:revision>
  <cp:lastPrinted>2024-03-27T09:41:00Z</cp:lastPrinted>
  <dcterms:created xsi:type="dcterms:W3CDTF">2024-04-25T11:33:00Z</dcterms:created>
  <dcterms:modified xsi:type="dcterms:W3CDTF">2024-05-13T14:34:00Z</dcterms:modified>
</cp:coreProperties>
</file>