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02FC3" w14:textId="77777777" w:rsidR="005F6627" w:rsidRDefault="005F6627" w:rsidP="005F6627">
      <w:pPr>
        <w:tabs>
          <w:tab w:val="left" w:pos="0"/>
          <w:tab w:val="left" w:pos="142"/>
        </w:tabs>
        <w:spacing w:before="1440"/>
        <w:jc w:val="both"/>
        <w:rPr>
          <w:rFonts w:ascii="Arial" w:hAnsi="Arial"/>
          <w:b/>
          <w:sz w:val="22"/>
        </w:rPr>
      </w:pPr>
    </w:p>
    <w:p w14:paraId="126BBF13" w14:textId="0F17D1F1" w:rsidR="005F6627" w:rsidRDefault="00EC6F8D" w:rsidP="005F6627">
      <w:pPr>
        <w:tabs>
          <w:tab w:val="left" w:pos="0"/>
          <w:tab w:val="left" w:pos="142"/>
        </w:tabs>
        <w:jc w:val="center"/>
        <w:rPr>
          <w:rFonts w:ascii="Arial" w:hAnsi="Arial"/>
          <w:b/>
          <w:sz w:val="22"/>
        </w:rPr>
      </w:pPr>
      <w:r>
        <w:rPr>
          <w:rFonts w:ascii="Arial" w:hAnsi="Arial"/>
          <w:b/>
          <w:sz w:val="22"/>
        </w:rPr>
        <w:t>CONVENTION POUR LA SAUVEGARDE</w:t>
      </w:r>
      <w:r w:rsidR="004F10BB">
        <w:rPr>
          <w:rFonts w:ascii="Arial" w:hAnsi="Arial"/>
          <w:b/>
          <w:sz w:val="22"/>
        </w:rPr>
        <w:t xml:space="preserve"> </w:t>
      </w:r>
      <w:r>
        <w:rPr>
          <w:rFonts w:ascii="Arial" w:hAnsi="Arial"/>
          <w:b/>
          <w:sz w:val="22"/>
        </w:rPr>
        <w:t>DU</w:t>
      </w:r>
    </w:p>
    <w:p w14:paraId="2485E36E" w14:textId="1D6A4F2A" w:rsidR="00EC6F8D" w:rsidRPr="005F6627" w:rsidRDefault="00EC6F8D" w:rsidP="005F6627">
      <w:pPr>
        <w:tabs>
          <w:tab w:val="left" w:pos="0"/>
          <w:tab w:val="left" w:pos="142"/>
        </w:tabs>
        <w:jc w:val="center"/>
        <w:rPr>
          <w:rFonts w:ascii="Arial" w:hAnsi="Arial"/>
          <w:b/>
          <w:sz w:val="22"/>
        </w:rPr>
      </w:pPr>
      <w:r>
        <w:rPr>
          <w:rFonts w:ascii="Arial" w:hAnsi="Arial"/>
          <w:b/>
          <w:sz w:val="22"/>
        </w:rPr>
        <w:t xml:space="preserve"> PATRIMOINE CULTUREL IMMATÉRIEL</w:t>
      </w:r>
    </w:p>
    <w:p w14:paraId="3F72B1D3" w14:textId="37133200" w:rsidR="00EC6F8D" w:rsidRPr="00BB6EEC" w:rsidRDefault="005C792B" w:rsidP="00EC6F8D">
      <w:pPr>
        <w:spacing w:before="1200"/>
        <w:jc w:val="center"/>
        <w:rPr>
          <w:rFonts w:ascii="Arial" w:hAnsi="Arial" w:cs="Arial"/>
          <w:b/>
          <w:sz w:val="22"/>
          <w:szCs w:val="22"/>
        </w:rPr>
      </w:pPr>
      <w:r>
        <w:rPr>
          <w:rFonts w:ascii="Arial" w:hAnsi="Arial"/>
          <w:b/>
          <w:sz w:val="22"/>
        </w:rPr>
        <w:t>ASSEMBLÉE GÉNÉRALE DES ÉTATS PARTIES À LA CONVENTION</w:t>
      </w:r>
    </w:p>
    <w:p w14:paraId="2E1CD4B4" w14:textId="1F59B9D4" w:rsidR="00EC6F8D" w:rsidRPr="00BB6EEC" w:rsidRDefault="005C792B" w:rsidP="001D14FE">
      <w:pPr>
        <w:spacing w:before="840"/>
        <w:jc w:val="center"/>
        <w:rPr>
          <w:rFonts w:ascii="Arial" w:hAnsi="Arial" w:cs="Arial"/>
          <w:b/>
          <w:sz w:val="22"/>
          <w:szCs w:val="22"/>
        </w:rPr>
      </w:pPr>
      <w:r>
        <w:rPr>
          <w:rFonts w:ascii="Arial" w:hAnsi="Arial"/>
          <w:b/>
          <w:sz w:val="22"/>
        </w:rPr>
        <w:t>Dixième session</w:t>
      </w:r>
    </w:p>
    <w:p w14:paraId="1FD89575" w14:textId="5BE75FD9" w:rsidR="00B2172B" w:rsidRPr="00BB6EEC" w:rsidRDefault="005C792B" w:rsidP="00B2172B">
      <w:pPr>
        <w:jc w:val="center"/>
        <w:rPr>
          <w:rFonts w:ascii="Arial" w:hAnsi="Arial" w:cs="Arial"/>
          <w:b/>
          <w:sz w:val="22"/>
          <w:szCs w:val="22"/>
        </w:rPr>
      </w:pPr>
      <w:r>
        <w:rPr>
          <w:rFonts w:ascii="Arial" w:hAnsi="Arial"/>
          <w:b/>
          <w:sz w:val="22"/>
        </w:rPr>
        <w:t>Siège de l</w:t>
      </w:r>
      <w:r w:rsidR="00DC76D8">
        <w:rPr>
          <w:rFonts w:ascii="Arial" w:hAnsi="Arial"/>
          <w:b/>
          <w:sz w:val="22"/>
        </w:rPr>
        <w:t>’</w:t>
      </w:r>
      <w:r>
        <w:rPr>
          <w:rFonts w:ascii="Arial" w:hAnsi="Arial"/>
          <w:b/>
          <w:sz w:val="22"/>
        </w:rPr>
        <w:t xml:space="preserve">UNESCO, </w:t>
      </w:r>
      <w:r w:rsidR="004F10BB">
        <w:rPr>
          <w:rFonts w:ascii="Arial" w:hAnsi="Arial"/>
          <w:b/>
          <w:sz w:val="22"/>
        </w:rPr>
        <w:t xml:space="preserve">Salle </w:t>
      </w:r>
      <w:r>
        <w:rPr>
          <w:rFonts w:ascii="Arial" w:hAnsi="Arial"/>
          <w:b/>
          <w:sz w:val="22"/>
        </w:rPr>
        <w:t>I</w:t>
      </w:r>
    </w:p>
    <w:p w14:paraId="1A3ECAF3" w14:textId="5654E6EA" w:rsidR="005F6627" w:rsidRPr="00F4581D" w:rsidRDefault="005F6627" w:rsidP="005F6627">
      <w:pPr>
        <w:jc w:val="center"/>
        <w:rPr>
          <w:rFonts w:ascii="Arial" w:hAnsi="Arial"/>
          <w:b/>
          <w:sz w:val="22"/>
        </w:rPr>
      </w:pPr>
      <w:r>
        <w:rPr>
          <w:rFonts w:ascii="Arial" w:hAnsi="Arial"/>
          <w:b/>
          <w:sz w:val="22"/>
        </w:rPr>
        <w:t>11</w:t>
      </w:r>
      <w:r w:rsidRPr="00F4581D">
        <w:rPr>
          <w:rFonts w:ascii="Arial" w:hAnsi="Arial"/>
          <w:b/>
          <w:sz w:val="22"/>
        </w:rPr>
        <w:t> </w:t>
      </w:r>
      <w:r>
        <w:rPr>
          <w:rFonts w:ascii="Arial" w:hAnsi="Arial"/>
          <w:b/>
          <w:sz w:val="22"/>
        </w:rPr>
        <w:t>–</w:t>
      </w:r>
      <w:r w:rsidRPr="00F4581D">
        <w:rPr>
          <w:rFonts w:ascii="Arial" w:hAnsi="Arial"/>
          <w:b/>
          <w:sz w:val="22"/>
        </w:rPr>
        <w:t xml:space="preserve"> </w:t>
      </w:r>
      <w:r>
        <w:rPr>
          <w:rFonts w:ascii="Arial" w:hAnsi="Arial"/>
          <w:b/>
          <w:sz w:val="22"/>
        </w:rPr>
        <w:t>1</w:t>
      </w:r>
      <w:r w:rsidR="006055D9">
        <w:rPr>
          <w:rFonts w:ascii="Arial" w:hAnsi="Arial"/>
          <w:b/>
          <w:sz w:val="22"/>
        </w:rPr>
        <w:t>2</w:t>
      </w:r>
      <w:r>
        <w:rPr>
          <w:rFonts w:ascii="Arial" w:hAnsi="Arial"/>
          <w:b/>
          <w:sz w:val="22"/>
        </w:rPr>
        <w:t xml:space="preserve"> juin</w:t>
      </w:r>
      <w:r w:rsidRPr="00F4581D">
        <w:rPr>
          <w:rFonts w:ascii="Arial" w:hAnsi="Arial"/>
          <w:b/>
          <w:sz w:val="22"/>
        </w:rPr>
        <w:t> 202</w:t>
      </w:r>
      <w:r>
        <w:rPr>
          <w:rFonts w:ascii="Arial" w:hAnsi="Arial"/>
          <w:b/>
          <w:sz w:val="22"/>
        </w:rPr>
        <w:t>4</w:t>
      </w:r>
    </w:p>
    <w:p w14:paraId="0365203A" w14:textId="5560473F" w:rsidR="00EC6F8D" w:rsidRPr="00BB6EEC" w:rsidRDefault="00EC6F8D" w:rsidP="00EC6F8D">
      <w:pPr>
        <w:pStyle w:val="Sansinterligne2"/>
        <w:spacing w:before="1200"/>
        <w:jc w:val="center"/>
        <w:rPr>
          <w:rFonts w:ascii="Arial" w:hAnsi="Arial" w:cs="Arial"/>
          <w:b/>
          <w:sz w:val="22"/>
          <w:szCs w:val="22"/>
        </w:rPr>
      </w:pPr>
      <w:r>
        <w:rPr>
          <w:rFonts w:ascii="Arial" w:hAnsi="Arial"/>
          <w:b/>
          <w:sz w:val="22"/>
          <w:u w:val="single"/>
        </w:rPr>
        <w:t>Point 8 de l</w:t>
      </w:r>
      <w:r w:rsidR="00DC76D8">
        <w:rPr>
          <w:rFonts w:ascii="Arial" w:hAnsi="Arial"/>
          <w:b/>
          <w:sz w:val="22"/>
          <w:u w:val="single"/>
        </w:rPr>
        <w:t>’</w:t>
      </w:r>
      <w:r>
        <w:rPr>
          <w:rFonts w:ascii="Arial" w:hAnsi="Arial"/>
          <w:b/>
          <w:sz w:val="22"/>
          <w:u w:val="single"/>
        </w:rPr>
        <w:t>ordre du jour provisoire</w:t>
      </w:r>
      <w:r w:rsidRPr="00A32245">
        <w:rPr>
          <w:rFonts w:ascii="Arial" w:hAnsi="Arial"/>
          <w:b/>
          <w:sz w:val="22"/>
        </w:rPr>
        <w:t> </w:t>
      </w:r>
      <w:r>
        <w:rPr>
          <w:rFonts w:ascii="Arial" w:hAnsi="Arial"/>
          <w:b/>
          <w:sz w:val="22"/>
        </w:rPr>
        <w:t>:</w:t>
      </w:r>
    </w:p>
    <w:p w14:paraId="59920478" w14:textId="13C29112" w:rsidR="004A2875" w:rsidRPr="00BB6EEC" w:rsidRDefault="000F2A9F" w:rsidP="004A2875">
      <w:pPr>
        <w:pStyle w:val="Sansinterligne2"/>
        <w:spacing w:after="960"/>
        <w:jc w:val="center"/>
        <w:rPr>
          <w:rFonts w:ascii="Arial" w:hAnsi="Arial" w:cs="Arial"/>
          <w:bCs/>
          <w:sz w:val="22"/>
          <w:szCs w:val="22"/>
        </w:rPr>
      </w:pPr>
      <w:r>
        <w:rPr>
          <w:rFonts w:ascii="Arial" w:hAnsi="Arial"/>
          <w:b/>
          <w:sz w:val="22"/>
        </w:rPr>
        <w:t>Utilisation des ressources du Fonds du patrimoine culturel immatériel</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91798E"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rPr>
            </w:pPr>
            <w:r>
              <w:rPr>
                <w:rFonts w:ascii="Arial" w:hAnsi="Arial"/>
                <w:b/>
                <w:sz w:val="22"/>
              </w:rPr>
              <w:t>Résumé</w:t>
            </w:r>
          </w:p>
          <w:p w14:paraId="612E5DE6" w14:textId="122B8C1B" w:rsidR="00BB6EEC" w:rsidRPr="00BB6EEC" w:rsidRDefault="00EB0759" w:rsidP="00BB6EEC">
            <w:pPr>
              <w:pStyle w:val="Sansinterligne1"/>
              <w:jc w:val="both"/>
              <w:rPr>
                <w:rFonts w:ascii="Arial" w:hAnsi="Arial" w:cs="Arial"/>
                <w:bCs/>
                <w:sz w:val="22"/>
                <w:szCs w:val="22"/>
              </w:rPr>
            </w:pPr>
            <w:r>
              <w:rPr>
                <w:rFonts w:ascii="Arial" w:hAnsi="Arial"/>
                <w:sz w:val="22"/>
              </w:rPr>
              <w:t>L</w:t>
            </w:r>
            <w:r w:rsidR="00DC76D8">
              <w:rPr>
                <w:rFonts w:ascii="Arial" w:hAnsi="Arial"/>
                <w:sz w:val="22"/>
              </w:rPr>
              <w:t>’</w:t>
            </w:r>
            <w:r>
              <w:rPr>
                <w:rFonts w:ascii="Arial" w:hAnsi="Arial"/>
                <w:sz w:val="22"/>
              </w:rPr>
              <w:t>article</w:t>
            </w:r>
            <w:r w:rsidR="00DC76D8">
              <w:rPr>
                <w:rFonts w:ascii="Arial" w:hAnsi="Arial"/>
                <w:sz w:val="22"/>
              </w:rPr>
              <w:t> </w:t>
            </w:r>
            <w:r>
              <w:rPr>
                <w:rFonts w:ascii="Arial" w:hAnsi="Arial"/>
                <w:sz w:val="22"/>
              </w:rPr>
              <w:t xml:space="preserve">7(c) de la Convention </w:t>
            </w:r>
            <w:r w:rsidR="004F10BB">
              <w:rPr>
                <w:rFonts w:ascii="Arial" w:hAnsi="Arial"/>
                <w:sz w:val="22"/>
              </w:rPr>
              <w:t xml:space="preserve">prévoit </w:t>
            </w:r>
            <w:r>
              <w:rPr>
                <w:rFonts w:ascii="Arial" w:hAnsi="Arial"/>
                <w:sz w:val="22"/>
              </w:rPr>
              <w:t>que le Comité prépare et soumet</w:t>
            </w:r>
            <w:r w:rsidR="004F10BB">
              <w:rPr>
                <w:rFonts w:ascii="Arial" w:hAnsi="Arial"/>
                <w:sz w:val="22"/>
              </w:rPr>
              <w:t>te</w:t>
            </w:r>
            <w:r>
              <w:rPr>
                <w:rFonts w:ascii="Arial" w:hAnsi="Arial"/>
                <w:sz w:val="22"/>
              </w:rPr>
              <w:t xml:space="preserve"> à l</w:t>
            </w:r>
            <w:r w:rsidR="00DC76D8">
              <w:rPr>
                <w:rFonts w:ascii="Arial" w:hAnsi="Arial"/>
                <w:sz w:val="22"/>
              </w:rPr>
              <w:t>’</w:t>
            </w:r>
            <w:r>
              <w:rPr>
                <w:rFonts w:ascii="Arial" w:hAnsi="Arial"/>
                <w:sz w:val="22"/>
              </w:rPr>
              <w:t>approbation de l</w:t>
            </w:r>
            <w:r w:rsidR="00DC76D8">
              <w:rPr>
                <w:rFonts w:ascii="Arial" w:hAnsi="Arial"/>
                <w:sz w:val="22"/>
              </w:rPr>
              <w:t>’</w:t>
            </w:r>
            <w:r>
              <w:rPr>
                <w:rFonts w:ascii="Arial" w:hAnsi="Arial"/>
                <w:sz w:val="22"/>
              </w:rPr>
              <w:t>Assemblée générale un projet de plan d</w:t>
            </w:r>
            <w:r w:rsidR="00DC76D8">
              <w:rPr>
                <w:rFonts w:ascii="Arial" w:hAnsi="Arial"/>
                <w:sz w:val="22"/>
              </w:rPr>
              <w:t>’</w:t>
            </w:r>
            <w:r>
              <w:rPr>
                <w:rFonts w:ascii="Arial" w:hAnsi="Arial"/>
                <w:sz w:val="22"/>
              </w:rPr>
              <w:t>utilisation des ressources du Fonds. Le document présente un tel projet de plan, conformément à la recommandation du Comité pour la période</w:t>
            </w:r>
            <w:r w:rsidR="00DC76D8">
              <w:rPr>
                <w:rFonts w:ascii="Arial" w:hAnsi="Arial"/>
                <w:sz w:val="22"/>
              </w:rPr>
              <w:t> </w:t>
            </w:r>
            <w:r>
              <w:rPr>
                <w:rFonts w:ascii="Arial" w:hAnsi="Arial"/>
                <w:sz w:val="22"/>
              </w:rPr>
              <w:t>2024-2025</w:t>
            </w:r>
            <w:r w:rsidR="00212B46">
              <w:rPr>
                <w:rFonts w:ascii="Arial" w:hAnsi="Arial"/>
                <w:sz w:val="22"/>
              </w:rPr>
              <w:t xml:space="preserve"> </w:t>
            </w:r>
            <w:r>
              <w:rPr>
                <w:rFonts w:ascii="Arial" w:hAnsi="Arial"/>
                <w:sz w:val="22"/>
              </w:rPr>
              <w:t>ainsi que pour le premier semestre</w:t>
            </w:r>
            <w:r w:rsidR="00DC76D8">
              <w:rPr>
                <w:rFonts w:ascii="Arial" w:hAnsi="Arial"/>
                <w:sz w:val="22"/>
              </w:rPr>
              <w:t> </w:t>
            </w:r>
            <w:r>
              <w:rPr>
                <w:rFonts w:ascii="Arial" w:hAnsi="Arial"/>
                <w:sz w:val="22"/>
              </w:rPr>
              <w:t>2026</w:t>
            </w:r>
            <w:r>
              <w:t>.</w:t>
            </w:r>
            <w:r>
              <w:rPr>
                <w:rFonts w:ascii="Arial" w:hAnsi="Arial"/>
                <w:sz w:val="22"/>
              </w:rPr>
              <w:t xml:space="preserve"> </w:t>
            </w:r>
          </w:p>
          <w:p w14:paraId="290310E8" w14:textId="12475E79" w:rsidR="00EC6F8D" w:rsidRPr="00BB6EEC" w:rsidRDefault="00EC6F8D" w:rsidP="00CA56BB">
            <w:pPr>
              <w:pStyle w:val="Sansinterligne2"/>
              <w:spacing w:before="200" w:after="200"/>
              <w:jc w:val="both"/>
              <w:rPr>
                <w:rFonts w:ascii="Arial" w:hAnsi="Arial" w:cs="Arial"/>
                <w:b/>
                <w:sz w:val="22"/>
                <w:szCs w:val="22"/>
              </w:rPr>
            </w:pPr>
            <w:r>
              <w:rPr>
                <w:rFonts w:ascii="Arial" w:hAnsi="Arial"/>
                <w:b/>
                <w:sz w:val="22"/>
              </w:rPr>
              <w:t>Décision requise</w:t>
            </w:r>
            <w:r w:rsidR="00DC76D8">
              <w:rPr>
                <w:rFonts w:ascii="Arial" w:hAnsi="Arial"/>
                <w:b/>
                <w:sz w:val="22"/>
              </w:rPr>
              <w:t> </w:t>
            </w:r>
            <w:r>
              <w:rPr>
                <w:rFonts w:ascii="Arial" w:hAnsi="Arial"/>
                <w:b/>
                <w:sz w:val="22"/>
              </w:rPr>
              <w:t xml:space="preserve">: </w:t>
            </w:r>
            <w:r w:rsidRPr="00E503E8">
              <w:rPr>
                <w:rFonts w:ascii="Arial" w:hAnsi="Arial"/>
                <w:sz w:val="22"/>
              </w:rPr>
              <w:t>paragraphe</w:t>
            </w:r>
            <w:r w:rsidR="00DC76D8" w:rsidRPr="00E503E8">
              <w:rPr>
                <w:rFonts w:ascii="Arial" w:hAnsi="Arial"/>
                <w:sz w:val="22"/>
              </w:rPr>
              <w:t> </w:t>
            </w:r>
            <w:r w:rsidRPr="00E503E8">
              <w:rPr>
                <w:rFonts w:ascii="Arial" w:hAnsi="Arial"/>
                <w:sz w:val="22"/>
              </w:rPr>
              <w:t>33</w:t>
            </w:r>
          </w:p>
        </w:tc>
      </w:tr>
    </w:tbl>
    <w:p w14:paraId="6F51C9F2" w14:textId="77777777" w:rsidR="005C10E6" w:rsidRDefault="005C10E6">
      <w:pPr>
        <w:rPr>
          <w:rFonts w:asciiTheme="minorBidi" w:hAnsiTheme="minorBidi" w:cstheme="minorBidi"/>
          <w:b/>
          <w:bCs/>
          <w:sz w:val="22"/>
          <w:szCs w:val="22"/>
        </w:rPr>
      </w:pPr>
      <w:bookmarkStart w:id="0" w:name="_Hlk124351255"/>
      <w:r>
        <w:br w:type="page"/>
      </w:r>
    </w:p>
    <w:p w14:paraId="6C62585F" w14:textId="6A62E756" w:rsidR="00F70CC5" w:rsidRPr="000F17F3" w:rsidRDefault="00FD4BC8" w:rsidP="00CA4765">
      <w:pPr>
        <w:pStyle w:val="Paragraphedeliste"/>
        <w:keepLines/>
        <w:spacing w:after="240"/>
        <w:ind w:left="0"/>
        <w:contextualSpacing w:val="0"/>
        <w:jc w:val="both"/>
        <w:rPr>
          <w:rFonts w:asciiTheme="minorBidi" w:hAnsiTheme="minorBidi" w:cstheme="minorBidi"/>
          <w:b/>
          <w:bCs/>
        </w:rPr>
      </w:pPr>
      <w:r w:rsidRPr="000F17F3">
        <w:rPr>
          <w:rFonts w:asciiTheme="minorBidi" w:hAnsiTheme="minorBidi"/>
          <w:b/>
          <w:sz w:val="22"/>
        </w:rPr>
        <w:lastRenderedPageBreak/>
        <w:t>Contexte</w:t>
      </w:r>
    </w:p>
    <w:bookmarkEnd w:id="0"/>
    <w:p w14:paraId="5C1BBF4E" w14:textId="0520C505" w:rsidR="00A60F7E" w:rsidRPr="00E503E8" w:rsidRDefault="00A60F7E" w:rsidP="00A60F7E">
      <w:pPr>
        <w:pStyle w:val="GAPara"/>
        <w:numPr>
          <w:ilvl w:val="0"/>
          <w:numId w:val="23"/>
        </w:numPr>
        <w:ind w:left="567" w:hanging="567"/>
        <w:jc w:val="both"/>
      </w:pPr>
      <w:r w:rsidRPr="000F17F3">
        <w:t>L</w:t>
      </w:r>
      <w:r w:rsidR="00DC76D8" w:rsidRPr="000F17F3">
        <w:t>’</w:t>
      </w:r>
      <w:r w:rsidRPr="000F17F3">
        <w:t>article</w:t>
      </w:r>
      <w:r w:rsidR="00DC76D8" w:rsidRPr="000F17F3">
        <w:t> </w:t>
      </w:r>
      <w:r w:rsidRPr="000F17F3">
        <w:t xml:space="preserve">7(c) de la Convention </w:t>
      </w:r>
      <w:r w:rsidR="000F17F3" w:rsidRPr="000F17F3">
        <w:t xml:space="preserve">demande au </w:t>
      </w:r>
      <w:r w:rsidRPr="000F17F3">
        <w:t xml:space="preserve">Comité </w:t>
      </w:r>
      <w:r w:rsidR="000F17F3" w:rsidRPr="000F17F3">
        <w:t xml:space="preserve">de </w:t>
      </w:r>
      <w:r w:rsidRPr="000F17F3">
        <w:t>«</w:t>
      </w:r>
      <w:r w:rsidR="00DC76D8" w:rsidRPr="000F17F3">
        <w:t> </w:t>
      </w:r>
      <w:r w:rsidRPr="000F17F3">
        <w:t>prépare</w:t>
      </w:r>
      <w:r w:rsidR="000F17F3" w:rsidRPr="000F17F3">
        <w:t>r</w:t>
      </w:r>
      <w:r w:rsidRPr="000F17F3">
        <w:t xml:space="preserve"> et soumett</w:t>
      </w:r>
      <w:r w:rsidR="000F17F3" w:rsidRPr="000F17F3">
        <w:t>r</w:t>
      </w:r>
      <w:r w:rsidRPr="000F17F3">
        <w:t>e à l</w:t>
      </w:r>
      <w:r w:rsidR="00DC76D8" w:rsidRPr="000F17F3">
        <w:t>’</w:t>
      </w:r>
      <w:r w:rsidRPr="000F17F3">
        <w:t>approbation de l</w:t>
      </w:r>
      <w:r w:rsidR="00DC76D8" w:rsidRPr="000F17F3">
        <w:t>’</w:t>
      </w:r>
      <w:r w:rsidRPr="000F17F3">
        <w:t>Assemblée générale un projet de plan d</w:t>
      </w:r>
      <w:r w:rsidR="00DC76D8" w:rsidRPr="000F17F3">
        <w:t>’</w:t>
      </w:r>
      <w:r w:rsidRPr="000F17F3">
        <w:t xml:space="preserve">utilisation des ressources du Fonds [du patrimoine culturel immatériel] [Compte spécial (ci-après dénommé </w:t>
      </w:r>
      <w:r w:rsidR="000F17F3" w:rsidRPr="000F17F3">
        <w:t>« </w:t>
      </w:r>
      <w:r w:rsidRPr="000F17F3">
        <w:t>le Fonds</w:t>
      </w:r>
      <w:r w:rsidR="000F17F3" w:rsidRPr="000F17F3">
        <w:t> »</w:t>
      </w:r>
      <w:r w:rsidRPr="000F17F3">
        <w:t>)], conformément à l</w:t>
      </w:r>
      <w:r w:rsidR="00DC76D8" w:rsidRPr="000F17F3">
        <w:t>’</w:t>
      </w:r>
      <w:r w:rsidRPr="000F17F3">
        <w:t>article</w:t>
      </w:r>
      <w:r w:rsidR="00DC76D8" w:rsidRPr="000F17F3">
        <w:t> </w:t>
      </w:r>
      <w:r w:rsidRPr="000F17F3">
        <w:t>25 de la Convention</w:t>
      </w:r>
      <w:r w:rsidR="00DC76D8" w:rsidRPr="000F17F3">
        <w:t> </w:t>
      </w:r>
      <w:r w:rsidRPr="000F17F3">
        <w:t>». Le projet de plan (ci-après «</w:t>
      </w:r>
      <w:r w:rsidR="00DC76D8" w:rsidRPr="000F17F3">
        <w:t> </w:t>
      </w:r>
      <w:r w:rsidRPr="000F17F3">
        <w:t>le Plan</w:t>
      </w:r>
      <w:r w:rsidR="00DC76D8" w:rsidRPr="000F17F3">
        <w:t> </w:t>
      </w:r>
      <w:r w:rsidRPr="000F17F3">
        <w:t xml:space="preserve">»), soumis par le Comité en </w:t>
      </w:r>
      <w:r w:rsidR="004F10BB">
        <w:t>conformément à l</w:t>
      </w:r>
      <w:r w:rsidRPr="000F17F3">
        <w:t xml:space="preserve">a </w:t>
      </w:r>
      <w:r w:rsidR="00212B46" w:rsidRPr="000F17F3">
        <w:t>D</w:t>
      </w:r>
      <w:r w:rsidRPr="000F17F3">
        <w:t>écision</w:t>
      </w:r>
      <w:r w:rsidR="00212B46" w:rsidRPr="000F17F3">
        <w:t xml:space="preserve"> </w:t>
      </w:r>
      <w:hyperlink r:id="rId8" w:history="1">
        <w:r w:rsidRPr="000F17F3">
          <w:rPr>
            <w:rStyle w:val="Lienhypertexte"/>
          </w:rPr>
          <w:t>18.COM 14</w:t>
        </w:r>
      </w:hyperlink>
      <w:r w:rsidRPr="000F17F3">
        <w:t xml:space="preserve"> et annexé au présent document, a été préparé conformément aux orientations figurant au chapitre</w:t>
      </w:r>
      <w:r w:rsidR="00DC76D8" w:rsidRPr="000F17F3">
        <w:t> </w:t>
      </w:r>
      <w:r w:rsidRPr="000F17F3">
        <w:t xml:space="preserve">II.1 des </w:t>
      </w:r>
      <w:hyperlink r:id="rId9" w:history="1">
        <w:r w:rsidRPr="000F17F3">
          <w:rPr>
            <w:rStyle w:val="Lienhypertexte"/>
          </w:rPr>
          <w:t>Directives opérationnelles</w:t>
        </w:r>
      </w:hyperlink>
      <w:r w:rsidRPr="000F17F3">
        <w:t>, et sur la base de l</w:t>
      </w:r>
      <w:r w:rsidR="00DC76D8" w:rsidRPr="000F17F3">
        <w:t>’</w:t>
      </w:r>
      <w:r w:rsidRPr="000F17F3">
        <w:t>expérience acquise lors de la mise en œuvre du Plan au cours des exercices biennaux précédents. Le rapport narratif et financier pour la période allant du 1er</w:t>
      </w:r>
      <w:r w:rsidR="00DC76D8" w:rsidRPr="000F17F3">
        <w:t> </w:t>
      </w:r>
      <w:r w:rsidRPr="000F17F3">
        <w:t>janvier 2022 au 31</w:t>
      </w:r>
      <w:r w:rsidR="00DC76D8" w:rsidRPr="000F17F3">
        <w:t> </w:t>
      </w:r>
      <w:r w:rsidRPr="000F17F3">
        <w:t>décembre 2023, tel que requis par l</w:t>
      </w:r>
      <w:r w:rsidR="00DC76D8" w:rsidRPr="000F17F3">
        <w:t>’</w:t>
      </w:r>
      <w:r w:rsidRPr="000F17F3">
        <w:t>article</w:t>
      </w:r>
      <w:r w:rsidR="00DC76D8" w:rsidRPr="000F17F3">
        <w:t> </w:t>
      </w:r>
      <w:r w:rsidRPr="000F17F3">
        <w:t xml:space="preserve">10 du Règlement financier du Fonds, est disponible dans le document </w:t>
      </w:r>
      <w:hyperlink r:id="rId10" w:history="1">
        <w:r w:rsidRPr="00E503E8">
          <w:rPr>
            <w:rStyle w:val="Lienhypertexte"/>
          </w:rPr>
          <w:t>LHE/24/10.GA/INF.8</w:t>
        </w:r>
      </w:hyperlink>
      <w:r w:rsidR="000F17F3" w:rsidRPr="000F17F3">
        <w:t>.</w:t>
      </w:r>
    </w:p>
    <w:p w14:paraId="787ACD7D" w14:textId="21E4FB29" w:rsidR="00AA2D7A" w:rsidRPr="00557EBD" w:rsidRDefault="00AA2D7A" w:rsidP="00AA2D7A">
      <w:pPr>
        <w:pStyle w:val="GAPara"/>
        <w:numPr>
          <w:ilvl w:val="0"/>
          <w:numId w:val="23"/>
        </w:numPr>
        <w:ind w:left="567" w:hanging="567"/>
        <w:jc w:val="both"/>
      </w:pPr>
      <w:r>
        <w:t>Conformément à l</w:t>
      </w:r>
      <w:r w:rsidR="00DC76D8">
        <w:t>’</w:t>
      </w:r>
      <w:r>
        <w:t>article</w:t>
      </w:r>
      <w:r w:rsidR="00DC76D8">
        <w:t> </w:t>
      </w:r>
      <w:r>
        <w:t xml:space="preserve">2 du règlement financier du Fonds, </w:t>
      </w:r>
      <w:r w:rsidRPr="00A4501C">
        <w:t>«</w:t>
      </w:r>
      <w:r w:rsidR="00DC76D8" w:rsidRPr="00A4501C">
        <w:t> </w:t>
      </w:r>
      <w:r w:rsidRPr="00A4501C">
        <w:t>l</w:t>
      </w:r>
      <w:r w:rsidR="00DC76D8" w:rsidRPr="00A4501C">
        <w:t>’</w:t>
      </w:r>
      <w:r w:rsidRPr="00A4501C">
        <w:t xml:space="preserve">exercice financier pour les prévisions budgétaires est de deux années civiles consécutives </w:t>
      </w:r>
      <w:r w:rsidR="00A4501C" w:rsidRPr="00E503E8">
        <w:t>dont la première est une année</w:t>
      </w:r>
      <w:r w:rsidRPr="00A4501C">
        <w:t xml:space="preserve"> paire</w:t>
      </w:r>
      <w:r w:rsidR="00DC76D8" w:rsidRPr="00A4501C">
        <w:t> </w:t>
      </w:r>
      <w:r w:rsidRPr="00A4501C">
        <w:t>». L’Assemblée générale</w:t>
      </w:r>
      <w:r>
        <w:t xml:space="preserve"> des États parties à la Convention se réunit toutefois en session ordinaire les années paires, environ six mois après le début de l</w:t>
      </w:r>
      <w:r w:rsidR="00DC76D8">
        <w:t>’</w:t>
      </w:r>
      <w:r>
        <w:t>année civile. La présente session de l</w:t>
      </w:r>
      <w:r w:rsidR="00DC76D8">
        <w:t>’</w:t>
      </w:r>
      <w:r>
        <w:t>Assemblée est donc invitée à approuver un Plan pour la période allant du 1er</w:t>
      </w:r>
      <w:r w:rsidR="00DC76D8">
        <w:t> </w:t>
      </w:r>
      <w:r>
        <w:t>janvier 2024 au 31</w:t>
      </w:r>
      <w:r w:rsidR="00DC76D8">
        <w:t> </w:t>
      </w:r>
      <w:r>
        <w:t>décembre 2025 et, à titre provisoire, pour les six premiers mois du prochain exercice financier, soit du 1er</w:t>
      </w:r>
      <w:r w:rsidR="00DC76D8">
        <w:t> </w:t>
      </w:r>
      <w:r>
        <w:t>janvier 2026 au 30</w:t>
      </w:r>
      <w:r w:rsidR="00DC76D8">
        <w:t> </w:t>
      </w:r>
      <w:r>
        <w:t>juin 2026. Le budget provisoire pour le premier semestre</w:t>
      </w:r>
      <w:r w:rsidR="00DC76D8">
        <w:t> </w:t>
      </w:r>
      <w:r>
        <w:t>2024 adopté par la neuvième session de l</w:t>
      </w:r>
      <w:r w:rsidR="00DC76D8">
        <w:t>’</w:t>
      </w:r>
      <w:r>
        <w:t>Assemblée générale (Résolution</w:t>
      </w:r>
      <w:r w:rsidR="00212B46">
        <w:t xml:space="preserve"> </w:t>
      </w:r>
      <w:hyperlink r:id="rId11" w:history="1">
        <w:r>
          <w:rPr>
            <w:rStyle w:val="Lienhypertexte"/>
          </w:rPr>
          <w:t>9.GA 10</w:t>
        </w:r>
        <w:r w:rsidRPr="00E503E8">
          <w:rPr>
            <w:rStyle w:val="Lienhypertexte"/>
            <w:color w:val="auto"/>
          </w:rPr>
          <w:t>)</w:t>
        </w:r>
      </w:hyperlink>
      <w:r w:rsidR="00212B46" w:rsidRPr="00212B46">
        <w:rPr>
          <w:rStyle w:val="Lienhypertexte"/>
          <w:u w:val="none"/>
        </w:rPr>
        <w:t xml:space="preserve"> </w:t>
      </w:r>
      <w:r>
        <w:t>sera à son tour remplacé par le présent Plan une fois son adoption par la session actuelle de l</w:t>
      </w:r>
      <w:r w:rsidR="00DC76D8">
        <w:t>’</w:t>
      </w:r>
      <w:r>
        <w:t>Assemblée générale.</w:t>
      </w:r>
    </w:p>
    <w:p w14:paraId="47055CF1" w14:textId="7A477711" w:rsidR="00AA2D7A" w:rsidRPr="00557EBD" w:rsidRDefault="00AA2D7A" w:rsidP="00AA2D7A">
      <w:pPr>
        <w:pStyle w:val="COMPara"/>
        <w:numPr>
          <w:ilvl w:val="0"/>
          <w:numId w:val="23"/>
        </w:numPr>
        <w:tabs>
          <w:tab w:val="left" w:pos="567"/>
        </w:tabs>
        <w:ind w:left="567" w:hanging="567"/>
        <w:jc w:val="both"/>
        <w:rPr>
          <w:bCs/>
        </w:rPr>
      </w:pPr>
      <w:r>
        <w:t>Il est proposé que l</w:t>
      </w:r>
      <w:r w:rsidR="00DC76D8">
        <w:t>’</w:t>
      </w:r>
      <w:r>
        <w:t xml:space="preserve">Assemblée générale alloue les fonds de chaque ligne sur la base de pourcentages des ressources totales disponibles, </w:t>
      </w:r>
      <w:r w:rsidR="004F10BB" w:rsidRPr="00B43EFD">
        <w:t>et non en valeur absolue</w:t>
      </w:r>
      <w:r>
        <w:t>. Cela permettra, en cas de besoin, d</w:t>
      </w:r>
      <w:r w:rsidR="00DC76D8">
        <w:t>’</w:t>
      </w:r>
      <w:r>
        <w:t>affecter les contributions reçues au cours de l</w:t>
      </w:r>
      <w:r w:rsidR="00DC76D8">
        <w:t>’</w:t>
      </w:r>
      <w:r>
        <w:t>exercice biennal à chaque ligne budgétaire conformément aux pourcentages approuvés. De cette manière, le Comité pourra utiliser toute contribution volontaire supplémentaire importante et non affectée (telle que décrite à l</w:t>
      </w:r>
      <w:r w:rsidR="00DC76D8">
        <w:t>’</w:t>
      </w:r>
      <w:r>
        <w:t>article</w:t>
      </w:r>
      <w:r w:rsidR="00DC76D8">
        <w:t> </w:t>
      </w:r>
      <w:r>
        <w:t>27) qui pourrait être créditée au Fonds au cours de l</w:t>
      </w:r>
      <w:r w:rsidR="00DC76D8">
        <w:t>’</w:t>
      </w:r>
      <w:r>
        <w:t>exercice biennal. Parallèlement, il est suggéré que l</w:t>
      </w:r>
      <w:r w:rsidR="00DC76D8">
        <w:t>’</w:t>
      </w:r>
      <w:r>
        <w:t>Assemblée générale, comme elle l</w:t>
      </w:r>
      <w:r w:rsidR="00DC76D8">
        <w:t>’</w:t>
      </w:r>
      <w:r>
        <w:t>a fait lors de ses sessions précédentes, autorise le Comité à utiliser immédiatement ces contributions dès leur réception, conformément aux pourcentages établis dans le Plan.</w:t>
      </w:r>
    </w:p>
    <w:p w14:paraId="478F425E" w14:textId="2275C9B5" w:rsidR="00AA2D7A" w:rsidRPr="000F17F3" w:rsidRDefault="00AA2D7A" w:rsidP="00AA2D7A">
      <w:pPr>
        <w:pStyle w:val="COMPara"/>
        <w:numPr>
          <w:ilvl w:val="0"/>
          <w:numId w:val="23"/>
        </w:numPr>
        <w:tabs>
          <w:tab w:val="left" w:pos="567"/>
        </w:tabs>
        <w:ind w:left="567" w:hanging="567"/>
        <w:jc w:val="both"/>
      </w:pPr>
      <w:r>
        <w:t>En outre, il est demandé à l</w:t>
      </w:r>
      <w:r w:rsidR="00DC76D8">
        <w:t>’</w:t>
      </w:r>
      <w:r>
        <w:t>Assemblée générale d</w:t>
      </w:r>
      <w:r w:rsidR="00DC76D8">
        <w:t>’</w:t>
      </w:r>
      <w:r>
        <w:t>autoriser le Comité à utiliser immédiatement les contributions liées à des projets spécifiques, à condition que leurs actions s</w:t>
      </w:r>
      <w:r w:rsidR="00DC76D8">
        <w:t>’</w:t>
      </w:r>
      <w:r>
        <w:t>inscrivent dans le cadre des deux priorités de financement approuvées par le Comité pour la période</w:t>
      </w:r>
      <w:r w:rsidR="00DC76D8">
        <w:t> </w:t>
      </w:r>
      <w:r>
        <w:t>2022-2025 (</w:t>
      </w:r>
      <w:r w:rsidR="00212B46">
        <w:t>D</w:t>
      </w:r>
      <w:r>
        <w:t>écision</w:t>
      </w:r>
      <w:r w:rsidR="00DC76D8">
        <w:t> </w:t>
      </w:r>
      <w:hyperlink r:id="rId12" w:history="1">
        <w:r w:rsidRPr="00FD0496">
          <w:rPr>
            <w:rStyle w:val="Lienhypertexte"/>
          </w:rPr>
          <w:t>16.COM 12</w:t>
        </w:r>
      </w:hyperlink>
      <w:r>
        <w:t>)</w:t>
      </w:r>
      <w:r w:rsidR="00DC76D8">
        <w:t> </w:t>
      </w:r>
      <w:r>
        <w:t>: «</w:t>
      </w:r>
      <w:r w:rsidR="00DC76D8">
        <w:t> </w:t>
      </w:r>
      <w:r w:rsidR="004F10BB">
        <w:t>r</w:t>
      </w:r>
      <w:r>
        <w:t xml:space="preserve">enforcement des capacités de sauvegarde du patrimoine culturel immatériel par </w:t>
      </w:r>
      <w:r w:rsidR="004F10BB">
        <w:t xml:space="preserve">le biais </w:t>
      </w:r>
      <w:r>
        <w:t>d</w:t>
      </w:r>
      <w:r w:rsidR="004F10BB">
        <w:t>’</w:t>
      </w:r>
      <w:r>
        <w:t>approches multimodales et contribution au développement durable</w:t>
      </w:r>
      <w:r w:rsidR="00DC76D8">
        <w:t> </w:t>
      </w:r>
      <w:r>
        <w:t>» et «</w:t>
      </w:r>
      <w:r w:rsidR="004F10BB">
        <w:t xml:space="preserve"> s</w:t>
      </w:r>
      <w:r>
        <w:t>auvegarde du patrimoine culturel immatériel dans l</w:t>
      </w:r>
      <w:r w:rsidR="00DC76D8">
        <w:t>’</w:t>
      </w:r>
      <w:r>
        <w:t>éducation formelle et non formelle</w:t>
      </w:r>
      <w:r w:rsidR="00DC76D8">
        <w:t> </w:t>
      </w:r>
      <w:r>
        <w:t xml:space="preserve">». La liste de ces contributions, ainsi que celle des autres contributions volontaires supplémentaires et des donateurs, </w:t>
      </w:r>
      <w:r w:rsidR="004F10BB">
        <w:t xml:space="preserve">se trouve </w:t>
      </w:r>
      <w:r>
        <w:t>dans le document d</w:t>
      </w:r>
      <w:r w:rsidR="00DC76D8">
        <w:t>’</w:t>
      </w:r>
      <w:r>
        <w:t xml:space="preserve">information </w:t>
      </w:r>
      <w:hyperlink r:id="rId13" w:history="1">
        <w:r w:rsidRPr="00E503E8">
          <w:rPr>
            <w:rStyle w:val="Lienhypertexte"/>
          </w:rPr>
          <w:t>LHE/24/10.GA/INF.8</w:t>
        </w:r>
      </w:hyperlink>
      <w:r w:rsidRPr="000F17F3">
        <w:t>.</w:t>
      </w:r>
    </w:p>
    <w:p w14:paraId="2099EB25" w14:textId="59ED16B9" w:rsidR="00994671" w:rsidRPr="00A4501C" w:rsidRDefault="00994671" w:rsidP="00994671">
      <w:pPr>
        <w:pStyle w:val="GAPara"/>
        <w:numPr>
          <w:ilvl w:val="0"/>
          <w:numId w:val="23"/>
        </w:numPr>
        <w:ind w:left="567" w:hanging="567"/>
        <w:jc w:val="both"/>
      </w:pPr>
      <w:r>
        <w:t xml:space="preserve">Le présent document propose en premier lieu un aperçu de la situation du Fonds et des tendances actuelles, y compris une mise à jour du sous-fonds pour le renforcement des ressources humaines du Secrétariat (Partie I). </w:t>
      </w:r>
      <w:r w:rsidR="00A4501C" w:rsidRPr="00E503E8">
        <w:t>Le</w:t>
      </w:r>
      <w:r w:rsidRPr="00A4501C">
        <w:t xml:space="preserve"> plan proposé pour l</w:t>
      </w:r>
      <w:r w:rsidR="00DC76D8" w:rsidRPr="00A4501C">
        <w:t>’</w:t>
      </w:r>
      <w:r w:rsidRPr="00A4501C">
        <w:t>utilisation des ressources du Fonds pour la période</w:t>
      </w:r>
      <w:r w:rsidR="00DC76D8" w:rsidRPr="00A4501C">
        <w:t> </w:t>
      </w:r>
      <w:r w:rsidRPr="00A4501C">
        <w:t>2024-2025</w:t>
      </w:r>
      <w:r w:rsidR="00A4501C" w:rsidRPr="00E503E8">
        <w:t xml:space="preserve"> est présenté</w:t>
      </w:r>
      <w:r w:rsidRPr="00A4501C">
        <w:t xml:space="preserve"> </w:t>
      </w:r>
      <w:r w:rsidR="00A4501C" w:rsidRPr="00FE7F5F">
        <w:t xml:space="preserve">ensuite </w:t>
      </w:r>
      <w:r w:rsidR="00A4501C" w:rsidRPr="00E503E8">
        <w:t xml:space="preserve">avec </w:t>
      </w:r>
      <w:r w:rsidRPr="00A4501C">
        <w:t>une justification pour chaque ligne budgétaire dans la Partie</w:t>
      </w:r>
      <w:r w:rsidR="00DC76D8" w:rsidRPr="00A4501C">
        <w:t> </w:t>
      </w:r>
      <w:r w:rsidRPr="00A4501C">
        <w:t>II.</w:t>
      </w:r>
    </w:p>
    <w:p w14:paraId="123B6521" w14:textId="05CD314D" w:rsidR="00F70CC5" w:rsidRPr="00BB6EEC" w:rsidRDefault="00994671" w:rsidP="00E503E8">
      <w:pPr>
        <w:pStyle w:val="Titre4"/>
        <w:spacing w:before="240" w:after="120"/>
        <w:ind w:hanging="425"/>
      </w:pPr>
      <w:bookmarkStart w:id="1" w:name="PartI"/>
      <w:r>
        <w:t>SITUATION ET TENDANCES</w:t>
      </w:r>
    </w:p>
    <w:bookmarkEnd w:id="1"/>
    <w:p w14:paraId="6F8776EE" w14:textId="0F0879CD" w:rsidR="00994671" w:rsidRDefault="00994671" w:rsidP="00994671">
      <w:pPr>
        <w:pStyle w:val="GAPara"/>
        <w:numPr>
          <w:ilvl w:val="0"/>
          <w:numId w:val="23"/>
        </w:numPr>
        <w:ind w:left="567" w:hanging="567"/>
        <w:jc w:val="both"/>
      </w:pPr>
      <w:r>
        <w:t>Sur la base du rapport susmentionné pour la période allant du 1er</w:t>
      </w:r>
      <w:r w:rsidR="00DC76D8">
        <w:t> </w:t>
      </w:r>
      <w:r>
        <w:t>janvier 2022 au 31</w:t>
      </w:r>
      <w:r w:rsidR="00DC76D8">
        <w:t> </w:t>
      </w:r>
      <w:r>
        <w:t xml:space="preserve">décembre 2023 (document </w:t>
      </w:r>
      <w:hyperlink r:id="rId14" w:history="1">
        <w:r w:rsidRPr="00E503E8">
          <w:rPr>
            <w:rStyle w:val="Lienhypertexte"/>
          </w:rPr>
          <w:t>LHE/24/10.GA/INF.8</w:t>
        </w:r>
      </w:hyperlink>
      <w:r w:rsidRPr="000F17F3">
        <w:t>)</w:t>
      </w:r>
      <w:r>
        <w:t xml:space="preserve"> et à la suite de l</w:t>
      </w:r>
      <w:r w:rsidR="00DC76D8">
        <w:t>’</w:t>
      </w:r>
      <w:r>
        <w:t xml:space="preserve">analyse des tendances présentée dans le document </w:t>
      </w:r>
      <w:hyperlink r:id="rId15" w:history="1">
        <w:r>
          <w:rPr>
            <w:rStyle w:val="Lienhypertexte"/>
          </w:rPr>
          <w:t>LHE/23/18.COM/14</w:t>
        </w:r>
      </w:hyperlink>
      <w:r>
        <w:t>, la présente section décrit l</w:t>
      </w:r>
      <w:r w:rsidR="00DC76D8">
        <w:t>’</w:t>
      </w:r>
      <w:r>
        <w:t>évolution des dépenses du Fonds et des contributions mises en recouvrement jusqu</w:t>
      </w:r>
      <w:r w:rsidR="00DC76D8">
        <w:t>’</w:t>
      </w:r>
      <w:r>
        <w:t>au 31</w:t>
      </w:r>
      <w:r w:rsidR="00DC76D8">
        <w:t> </w:t>
      </w:r>
      <w:r>
        <w:t>décembre 2023.</w:t>
      </w:r>
    </w:p>
    <w:p w14:paraId="052B1A66" w14:textId="77777777" w:rsidR="00FD0496" w:rsidRDefault="00FD0496" w:rsidP="00FD0496">
      <w:pPr>
        <w:pStyle w:val="GAPara"/>
        <w:ind w:left="567" w:firstLine="0"/>
        <w:jc w:val="both"/>
      </w:pPr>
    </w:p>
    <w:p w14:paraId="0C662F53" w14:textId="77777777" w:rsidR="00FD0496" w:rsidRPr="00994671" w:rsidRDefault="00FD0496" w:rsidP="00E503E8">
      <w:pPr>
        <w:pStyle w:val="GAPara"/>
        <w:ind w:left="567" w:firstLine="0"/>
        <w:jc w:val="both"/>
      </w:pPr>
    </w:p>
    <w:p w14:paraId="1B04DA4D" w14:textId="09B65FA1" w:rsidR="00994671" w:rsidRPr="00994671" w:rsidRDefault="00994671" w:rsidP="00CA352E">
      <w:pPr>
        <w:pStyle w:val="COMPara"/>
        <w:numPr>
          <w:ilvl w:val="0"/>
          <w:numId w:val="0"/>
        </w:numPr>
        <w:ind w:firstLine="567"/>
        <w:jc w:val="both"/>
        <w:rPr>
          <w:b/>
          <w:bCs/>
        </w:rPr>
      </w:pPr>
      <w:r>
        <w:rPr>
          <w:b/>
        </w:rPr>
        <w:lastRenderedPageBreak/>
        <w:t>Dépenses</w:t>
      </w:r>
    </w:p>
    <w:p w14:paraId="7E88E733" w14:textId="408D6AB1" w:rsidR="00994671" w:rsidRDefault="00353518" w:rsidP="00994671">
      <w:pPr>
        <w:pStyle w:val="GAPara"/>
        <w:numPr>
          <w:ilvl w:val="0"/>
          <w:numId w:val="23"/>
        </w:numPr>
        <w:ind w:left="567" w:hanging="567"/>
        <w:jc w:val="both"/>
      </w:pPr>
      <w:r>
        <w:t>Le taux de dépense du dernier plan approuvé par la neuvième session de l</w:t>
      </w:r>
      <w:r w:rsidR="00DC76D8">
        <w:t>’</w:t>
      </w:r>
      <w:r>
        <w:t>Assemblée générale représente le taux le plus élevé du Fonds, atteignant 73,2</w:t>
      </w:r>
      <w:r w:rsidR="00DC76D8">
        <w:t> </w:t>
      </w:r>
      <w:r>
        <w:t>% au 31</w:t>
      </w:r>
      <w:r w:rsidR="00DC76D8">
        <w:t> </w:t>
      </w:r>
      <w:r>
        <w:t>décembre 2023 (52</w:t>
      </w:r>
      <w:r w:rsidR="00DC76D8">
        <w:t> </w:t>
      </w:r>
      <w:r>
        <w:t>% en moyenne entre 2012 et 2023). Les dépenses ont représenté 6,39</w:t>
      </w:r>
      <w:r w:rsidR="00DC76D8">
        <w:t> </w:t>
      </w:r>
      <w:r>
        <w:t>millions de dollars</w:t>
      </w:r>
      <w:r w:rsidR="007F4A9E" w:rsidRPr="007F4A9E">
        <w:rPr>
          <w:lang w:val="fr"/>
        </w:rPr>
        <w:t xml:space="preserve"> </w:t>
      </w:r>
      <w:r w:rsidR="007F4A9E" w:rsidRPr="005339C4">
        <w:rPr>
          <w:rStyle w:val="ui-provider"/>
          <w:lang w:val="fr"/>
        </w:rPr>
        <w:t>des États-Unis</w:t>
      </w:r>
      <w:r>
        <w:t xml:space="preserve"> pour l</w:t>
      </w:r>
      <w:r w:rsidR="00DC76D8">
        <w:t>’</w:t>
      </w:r>
      <w:r>
        <w:t>exercice</w:t>
      </w:r>
      <w:r w:rsidR="00DC76D8">
        <w:t> </w:t>
      </w:r>
      <w:r w:rsidR="004F10BB">
        <w:t xml:space="preserve">biennal </w:t>
      </w:r>
      <w:r>
        <w:t>2022-2023, contre 3,61</w:t>
      </w:r>
      <w:r w:rsidR="00DC76D8">
        <w:t> </w:t>
      </w:r>
      <w:r>
        <w:t xml:space="preserve">millions de dollars </w:t>
      </w:r>
      <w:r w:rsidR="007F4A9E" w:rsidRPr="005339C4">
        <w:rPr>
          <w:rStyle w:val="ui-provider"/>
          <w:lang w:val="fr"/>
        </w:rPr>
        <w:t>des États-Unis</w:t>
      </w:r>
      <w:r w:rsidR="007F4A9E" w:rsidDel="007F4A9E">
        <w:t xml:space="preserve"> </w:t>
      </w:r>
      <w:r>
        <w:t>pour l</w:t>
      </w:r>
      <w:r w:rsidR="00DC76D8">
        <w:t>’</w:t>
      </w:r>
      <w:r>
        <w:t>exercice</w:t>
      </w:r>
      <w:r w:rsidR="00DC76D8">
        <w:t> </w:t>
      </w:r>
      <w:r>
        <w:t>2020-2021 (voir figure</w:t>
      </w:r>
      <w:r w:rsidR="00DC76D8">
        <w:t> </w:t>
      </w:r>
      <w:r>
        <w:t>1).</w:t>
      </w:r>
    </w:p>
    <w:p w14:paraId="7FC2DA6C" w14:textId="0535149E" w:rsidR="006C4FC1" w:rsidRPr="000F17F3" w:rsidRDefault="00502AAE" w:rsidP="00F560D9">
      <w:pPr>
        <w:pStyle w:val="COMPara"/>
        <w:numPr>
          <w:ilvl w:val="0"/>
          <w:numId w:val="23"/>
        </w:numPr>
        <w:tabs>
          <w:tab w:val="left" w:pos="567"/>
        </w:tabs>
        <w:ind w:left="567" w:hanging="567"/>
        <w:jc w:val="both"/>
      </w:pPr>
      <w:r>
        <w:t>Le graphique ci-dessous indique que les dépenses (6,39</w:t>
      </w:r>
      <w:r w:rsidR="00DC76D8">
        <w:t> </w:t>
      </w:r>
      <w:r>
        <w:t xml:space="preserve">millions de dollars </w:t>
      </w:r>
      <w:r w:rsidR="007F4A9E" w:rsidRPr="005339C4">
        <w:rPr>
          <w:rStyle w:val="ui-provider"/>
          <w:lang w:val="fr"/>
        </w:rPr>
        <w:t>des États-Unis</w:t>
      </w:r>
      <w:r>
        <w:t>) ont largement dépassé les contributions obligatoires mises en recouvrement pour 2022-2023 au cours de la période allant du 1er</w:t>
      </w:r>
      <w:r w:rsidR="00DC76D8">
        <w:t> </w:t>
      </w:r>
      <w:r>
        <w:t>janvier 2022 au 31</w:t>
      </w:r>
      <w:r w:rsidR="00DC76D8">
        <w:t> </w:t>
      </w:r>
      <w:r>
        <w:t>décembre 2023 (3,96</w:t>
      </w:r>
      <w:r w:rsidR="00DC76D8">
        <w:t> </w:t>
      </w:r>
      <w:r>
        <w:t xml:space="preserve">millions de dollars </w:t>
      </w:r>
      <w:r w:rsidR="007F4A9E" w:rsidRPr="005339C4">
        <w:rPr>
          <w:rStyle w:val="ui-provider"/>
          <w:lang w:val="fr"/>
        </w:rPr>
        <w:t>des États-Unis</w:t>
      </w:r>
      <w:r>
        <w:t>), qui est la principale source de revenus du Fonds</w:t>
      </w:r>
      <w:r w:rsidR="002855B7">
        <w:rPr>
          <w:rStyle w:val="Appelnotedebasdep"/>
        </w:rPr>
        <w:footnoteReference w:id="1"/>
      </w:r>
      <w:r>
        <w:t>. Cette augmentation significative des dépenses s</w:t>
      </w:r>
      <w:r w:rsidR="00DC76D8">
        <w:t>’</w:t>
      </w:r>
      <w:r>
        <w:t>explique principalement par un certain nombre d</w:t>
      </w:r>
      <w:r w:rsidR="00DC76D8">
        <w:t>’</w:t>
      </w:r>
      <w:r>
        <w:t>évolutions positives, notamment</w:t>
      </w:r>
      <w:r w:rsidR="0017254A">
        <w:t xml:space="preserve"> : </w:t>
      </w:r>
      <w:r>
        <w:t>a) l</w:t>
      </w:r>
      <w:r w:rsidR="00DC76D8">
        <w:t>’</w:t>
      </w:r>
      <w:r>
        <w:t>amélioration de la capacité des États parties à demander une assistance internationale, combinée à la capacité accrue du Secrétariat à répondre aux besoins des États parties et b) la reprise complète des activités après un exercice biennal 2020-2021 marqué par la pandémie de COVID-19, y compris l</w:t>
      </w:r>
      <w:r w:rsidR="00DC76D8">
        <w:t>’</w:t>
      </w:r>
      <w:r>
        <w:t>organisation de réunions statutaires en personne qui a entraîné une augmentation des dépenses liées à l</w:t>
      </w:r>
      <w:r w:rsidR="00DC76D8">
        <w:t>’</w:t>
      </w:r>
      <w:r>
        <w:t>assistance financière aux participants des États en développement</w:t>
      </w:r>
      <w:bookmarkStart w:id="2" w:name="_Hlk162009935"/>
      <w:r w:rsidR="0017254A">
        <w:t xml:space="preserve"> </w:t>
      </w:r>
      <w:r>
        <w:t xml:space="preserve">(voir les documents </w:t>
      </w:r>
      <w:hyperlink r:id="rId16" w:history="1">
        <w:r w:rsidRPr="00E503E8">
          <w:rPr>
            <w:rStyle w:val="Lienhypertexte"/>
          </w:rPr>
          <w:t>LHE/24/10.GA/INF.8</w:t>
        </w:r>
      </w:hyperlink>
      <w:r w:rsidRPr="00E503E8">
        <w:t xml:space="preserve"> </w:t>
      </w:r>
      <w:bookmarkEnd w:id="2"/>
      <w:r w:rsidRPr="00E503E8">
        <w:t xml:space="preserve">et </w:t>
      </w:r>
      <w:hyperlink r:id="rId17" w:history="1">
        <w:r w:rsidRPr="00E503E8">
          <w:rPr>
            <w:rStyle w:val="Lienhypertexte"/>
          </w:rPr>
          <w:t>LHE/24/10.GA/6</w:t>
        </w:r>
      </w:hyperlink>
      <w:r w:rsidRPr="00E503E8">
        <w:t>)</w:t>
      </w:r>
      <w:r w:rsidRPr="000F17F3">
        <w:t xml:space="preserve">. </w:t>
      </w:r>
    </w:p>
    <w:p w14:paraId="3C19E200" w14:textId="778C228C" w:rsidR="00344854" w:rsidRDefault="00344854" w:rsidP="00344854">
      <w:pPr>
        <w:pStyle w:val="COMPara"/>
        <w:numPr>
          <w:ilvl w:val="0"/>
          <w:numId w:val="0"/>
        </w:numPr>
        <w:tabs>
          <w:tab w:val="left" w:pos="567"/>
        </w:tabs>
        <w:ind w:left="567"/>
        <w:jc w:val="both"/>
      </w:pPr>
      <w:r>
        <w:rPr>
          <w:noProof/>
        </w:rPr>
        <w:drawing>
          <wp:inline distT="0" distB="0" distL="0" distR="0" wp14:anchorId="081FC322" wp14:editId="1452279D">
            <wp:extent cx="5652000" cy="3528593"/>
            <wp:effectExtent l="0" t="0" r="6350" b="0"/>
            <wp:docPr id="95549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2000" cy="3528593"/>
                    </a:xfrm>
                    <a:prstGeom prst="rect">
                      <a:avLst/>
                    </a:prstGeom>
                    <a:noFill/>
                  </pic:spPr>
                </pic:pic>
              </a:graphicData>
            </a:graphic>
          </wp:inline>
        </w:drawing>
      </w:r>
    </w:p>
    <w:p w14:paraId="1C7AC01B" w14:textId="3AB44031" w:rsidR="00994671" w:rsidRDefault="00B713BE" w:rsidP="00B713BE">
      <w:pPr>
        <w:pStyle w:val="GAPara"/>
        <w:jc w:val="both"/>
      </w:pPr>
      <w:r>
        <w:rPr>
          <w:noProof/>
          <w:sz w:val="24"/>
        </w:rPr>
        <mc:AlternateContent>
          <mc:Choice Requires="wps">
            <w:drawing>
              <wp:inline distT="0" distB="0" distL="0" distR="0" wp14:anchorId="300F6235" wp14:editId="59374CE4">
                <wp:extent cx="5756275" cy="241300"/>
                <wp:effectExtent l="0" t="0" r="0" b="0"/>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1C055" w14:textId="77777777" w:rsidR="00B713BE" w:rsidRPr="00557EBD" w:rsidRDefault="00B713BE" w:rsidP="00B713BE">
                            <w:pPr>
                              <w:spacing w:after="120"/>
                              <w:ind w:right="201"/>
                              <w:rPr>
                                <w:rFonts w:ascii="Arial" w:hAnsi="Arial" w:cs="Arial"/>
                                <w:sz w:val="16"/>
                                <w:szCs w:val="16"/>
                              </w:rPr>
                            </w:pPr>
                            <w:r>
                              <w:rPr>
                                <w:rFonts w:ascii="Arial" w:hAnsi="Arial"/>
                                <w:b/>
                                <w:sz w:val="16"/>
                              </w:rPr>
                              <w:t xml:space="preserve">Figure 1 : </w:t>
                            </w:r>
                            <w:r>
                              <w:rPr>
                                <w:rFonts w:ascii="Arial" w:hAnsi="Arial"/>
                                <w:sz w:val="16"/>
                              </w:rPr>
                              <w:t>Évolution des dépenses</w:t>
                            </w:r>
                            <w:r>
                              <w:rPr>
                                <w:rFonts w:ascii="Arial" w:hAnsi="Arial"/>
                                <w:b/>
                                <w:sz w:val="16"/>
                              </w:rPr>
                              <w:t xml:space="preserve"> </w:t>
                            </w:r>
                            <w:r>
                              <w:rPr>
                                <w:rFonts w:ascii="Arial" w:hAnsi="Arial"/>
                                <w:sz w:val="16"/>
                              </w:rPr>
                              <w:t>du Fonds</w:t>
                            </w:r>
                          </w:p>
                        </w:txbxContent>
                      </wps:txbx>
                      <wps:bodyPr rot="0" vert="horz" wrap="square" lIns="91440" tIns="45720" rIns="91440" bIns="45720" anchor="t" anchorCtr="0" upright="1">
                        <a:noAutofit/>
                      </wps:bodyPr>
                    </wps:wsp>
                  </a:graphicData>
                </a:graphic>
              </wp:inline>
            </w:drawing>
          </mc:Choice>
          <mc:Fallback>
            <w:pict>
              <v:shapetype w14:anchorId="300F6235" id="_x0000_t202" coordsize="21600,21600" o:spt="202" path="m,l,21600r21600,l21600,xe">
                <v:stroke joinstyle="miter"/>
                <v:path gradientshapeok="t" o:connecttype="rect"/>
              </v:shapetype>
              <v:shape id="Zone de texte 10" o:spid="_x0000_s1026" type="#_x0000_t202" style="width:453.2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oH9AEAAMoDAAAOAAAAZHJzL2Uyb0RvYy54bWysU9uO0zAQfUfiHyy/06Sl3ULUdLV0VYS0&#10;XKSFD3AcJ7FwPGbsNilfz9jpdqvlDZEHy+Oxz8w5c7K5HXvDjgq9Blvy+SznTFkJtbZtyX983795&#10;x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" stroked="f">
                <v:textbox>
                  <w:txbxContent>
                    <w:p w14:paraId="7CE1C055" w14:textId="77777777" w:rsidR="00B713BE" w:rsidRPr="00557EBD" w:rsidRDefault="00B713BE" w:rsidP="00B713BE">
                      <w:pPr>
                        <w:spacing w:after="120"/>
                        <w:ind w:right="201"/>
                        <w:rPr>
                          <w:rFonts w:ascii="Arial" w:hAnsi="Arial" w:cs="Arial"/>
                          <w:sz w:val="16"/>
                          <w:szCs w:val="16"/>
                        </w:rPr>
                      </w:pPr>
                      <w:r>
                        <w:rPr>
                          <w:rFonts w:ascii="Arial" w:hAnsi="Arial"/>
                          <w:b/>
                          <w:sz w:val="16"/>
                        </w:rPr>
                        <w:t xml:space="preserve">Figure 1 : </w:t>
                      </w:r>
                      <w:r>
                        <w:rPr>
                          <w:rFonts w:ascii="Arial" w:hAnsi="Arial"/>
                          <w:sz w:val="16"/>
                        </w:rPr>
                        <w:t>Évolution des dépenses</w:t>
                      </w:r>
                      <w:r>
                        <w:rPr>
                          <w:rFonts w:ascii="Arial" w:hAnsi="Arial"/>
                          <w:b/>
                          <w:sz w:val="16"/>
                        </w:rPr>
                        <w:t xml:space="preserve"> </w:t>
                      </w:r>
                      <w:r>
                        <w:rPr>
                          <w:rFonts w:ascii="Arial" w:hAnsi="Arial"/>
                          <w:sz w:val="16"/>
                        </w:rPr>
                        <w:t>du Fonds</w:t>
                      </w:r>
                    </w:p>
                  </w:txbxContent>
                </v:textbox>
                <w10:anchorlock/>
              </v:shape>
            </w:pict>
          </mc:Fallback>
        </mc:AlternateContent>
      </w:r>
    </w:p>
    <w:p w14:paraId="64671CC8" w14:textId="5857BB91" w:rsidR="00994671" w:rsidRPr="00994671" w:rsidRDefault="00994671" w:rsidP="00CA352E">
      <w:pPr>
        <w:pStyle w:val="GAPara"/>
        <w:ind w:left="0" w:firstLine="567"/>
        <w:jc w:val="both"/>
        <w:rPr>
          <w:b/>
          <w:bCs/>
        </w:rPr>
      </w:pPr>
      <w:r>
        <w:rPr>
          <w:b/>
        </w:rPr>
        <w:t xml:space="preserve">Assistance internationale </w:t>
      </w:r>
    </w:p>
    <w:p w14:paraId="5FB9724C" w14:textId="7947AB27" w:rsidR="00912587" w:rsidRPr="00912587" w:rsidRDefault="00AB257B" w:rsidP="00FC0B75">
      <w:pPr>
        <w:pStyle w:val="COMPara"/>
        <w:numPr>
          <w:ilvl w:val="0"/>
          <w:numId w:val="23"/>
        </w:numPr>
        <w:ind w:left="567" w:hanging="567"/>
        <w:jc w:val="both"/>
      </w:pPr>
      <w:r>
        <w:t>Au cours de l</w:t>
      </w:r>
      <w:r w:rsidR="00DC76D8">
        <w:t>’</w:t>
      </w:r>
      <w:r>
        <w:t>exercice biennal</w:t>
      </w:r>
      <w:r w:rsidR="00DC76D8">
        <w:t> </w:t>
      </w:r>
      <w:r>
        <w:t xml:space="preserve">2022-2023, les États parties ont eu plus souvent </w:t>
      </w:r>
      <w:r w:rsidR="0017254A">
        <w:t xml:space="preserve">recourt </w:t>
      </w:r>
      <w:r>
        <w:t xml:space="preserve">aux </w:t>
      </w:r>
      <w:r>
        <w:rPr>
          <w:b/>
        </w:rPr>
        <w:t>mécanismes d</w:t>
      </w:r>
      <w:r w:rsidR="00DC76D8">
        <w:rPr>
          <w:b/>
        </w:rPr>
        <w:t>’</w:t>
      </w:r>
      <w:r>
        <w:rPr>
          <w:b/>
        </w:rPr>
        <w:t>assistance internationale</w:t>
      </w:r>
      <w:r>
        <w:t>.</w:t>
      </w:r>
      <w:r>
        <w:rPr>
          <w:b/>
        </w:rPr>
        <w:t xml:space="preserve"> </w:t>
      </w:r>
      <w:r>
        <w:t>Le graphique</w:t>
      </w:r>
      <w:r w:rsidR="00DC76D8">
        <w:t> </w:t>
      </w:r>
      <w:r>
        <w:t>2 (ci-dessous) montre une augmentation de l</w:t>
      </w:r>
      <w:r w:rsidR="00DC76D8">
        <w:t>’</w:t>
      </w:r>
      <w:r>
        <w:t>utilisation des fonds consacrés aux mécanismes d</w:t>
      </w:r>
      <w:r w:rsidR="00DC76D8">
        <w:t>’</w:t>
      </w:r>
      <w:r>
        <w:t>assistance internationale, correspondant aux lignes budgétaires</w:t>
      </w:r>
      <w:r w:rsidR="00DC76D8">
        <w:t> </w:t>
      </w:r>
      <w:r>
        <w:t xml:space="preserve">1, 1.1 et 2. Le taux de dépenses au titre de ces trois lignes budgétaires </w:t>
      </w:r>
      <w:r w:rsidR="002855B7">
        <w:t xml:space="preserve">combinées </w:t>
      </w:r>
      <w:r>
        <w:t>a atteint 71</w:t>
      </w:r>
      <w:r w:rsidR="00DC76D8">
        <w:t> </w:t>
      </w:r>
      <w:r>
        <w:t>%, contre 44</w:t>
      </w:r>
      <w:r w:rsidR="00DC76D8">
        <w:t> </w:t>
      </w:r>
      <w:r>
        <w:t>% au cours de l</w:t>
      </w:r>
      <w:r w:rsidR="00DC76D8">
        <w:t>’</w:t>
      </w:r>
      <w:r>
        <w:t>exercice biennal</w:t>
      </w:r>
      <w:r w:rsidR="00DC76D8">
        <w:t> </w:t>
      </w:r>
      <w:r>
        <w:t>2020-2021. Cela s</w:t>
      </w:r>
      <w:r w:rsidR="00DC76D8">
        <w:t>’</w:t>
      </w:r>
      <w:r>
        <w:t>explique principalement par</w:t>
      </w:r>
      <w:r w:rsidR="00DC76D8">
        <w:t> </w:t>
      </w:r>
      <w:r>
        <w:t xml:space="preserve">: </w:t>
      </w:r>
    </w:p>
    <w:p w14:paraId="322AED2E" w14:textId="4D7DDEA5" w:rsidR="00912587" w:rsidRPr="007B08F9" w:rsidRDefault="00FD0496" w:rsidP="00AD336E">
      <w:pPr>
        <w:pStyle w:val="COMPara"/>
        <w:numPr>
          <w:ilvl w:val="2"/>
          <w:numId w:val="26"/>
        </w:numPr>
        <w:ind w:left="1134" w:hanging="283"/>
        <w:jc w:val="both"/>
        <w:rPr>
          <w:bCs/>
        </w:rPr>
      </w:pPr>
      <w:r>
        <w:lastRenderedPageBreak/>
        <w:t>L</w:t>
      </w:r>
      <w:r w:rsidR="00DC76D8">
        <w:t>’</w:t>
      </w:r>
      <w:r w:rsidR="00AB257B">
        <w:t>augmentation du nombre de demandes d</w:t>
      </w:r>
      <w:r w:rsidR="00DC76D8">
        <w:t>’</w:t>
      </w:r>
      <w:r w:rsidR="00AB257B">
        <w:t>assistance internationale approuvées par le Comité et son Bureau - vingt-neuf demandes approuvées pour la période du 1er</w:t>
      </w:r>
      <w:r w:rsidR="00DC76D8">
        <w:t> </w:t>
      </w:r>
      <w:r w:rsidR="00AB257B">
        <w:t>janvier 2022 au 31</w:t>
      </w:r>
      <w:r w:rsidR="00DC76D8">
        <w:t> </w:t>
      </w:r>
      <w:r w:rsidR="00AB257B">
        <w:t>décembre 2023. Cela inclut treize projets dans la région Afrique (51</w:t>
      </w:r>
      <w:r w:rsidR="00DC76D8">
        <w:t> </w:t>
      </w:r>
      <w:r w:rsidR="00AB257B">
        <w:t>% du montant total des fonds accordés au cours de l</w:t>
      </w:r>
      <w:r w:rsidR="00DC76D8">
        <w:t>’</w:t>
      </w:r>
      <w:r w:rsidR="00AB257B">
        <w:t>exercice biennal) et cinq projets impliquant six petits États insulaires en développement (PEID) (21</w:t>
      </w:r>
      <w:r w:rsidR="00DC76D8">
        <w:t> </w:t>
      </w:r>
      <w:r w:rsidR="00AB257B">
        <w:t>% du montant total des fonds accordés),</w:t>
      </w:r>
    </w:p>
    <w:p w14:paraId="0E4574FD" w14:textId="008A7ED3" w:rsidR="00912587" w:rsidRDefault="00AB257B" w:rsidP="00AD336E">
      <w:pPr>
        <w:pStyle w:val="COMPara"/>
        <w:numPr>
          <w:ilvl w:val="2"/>
          <w:numId w:val="26"/>
        </w:numPr>
        <w:ind w:left="1134" w:hanging="283"/>
        <w:jc w:val="both"/>
        <w:rPr>
          <w:bCs/>
        </w:rPr>
      </w:pPr>
      <w:r>
        <w:t>le travail en amont du Secrétariat, notamment en fournissant un soutien technique aux États parties pendant le processus d</w:t>
      </w:r>
      <w:r w:rsidR="00DC76D8">
        <w:t>’</w:t>
      </w:r>
      <w:r>
        <w:t xml:space="preserve">élaboration (toutes les demandes examinées par le Comité et son Bureau ont été approuvées) et, </w:t>
      </w:r>
    </w:p>
    <w:p w14:paraId="2FC03D07" w14:textId="312FA4DA" w:rsidR="00AD336E" w:rsidRDefault="00AB257B" w:rsidP="00AD336E">
      <w:pPr>
        <w:pStyle w:val="COMPara"/>
        <w:numPr>
          <w:ilvl w:val="2"/>
          <w:numId w:val="26"/>
        </w:numPr>
        <w:ind w:left="1134" w:hanging="283"/>
        <w:jc w:val="both"/>
        <w:rPr>
          <w:bCs/>
        </w:rPr>
      </w:pPr>
      <w:r>
        <w:t>le recours accru à l</w:t>
      </w:r>
      <w:r w:rsidR="00DC76D8">
        <w:t>’</w:t>
      </w:r>
      <w:r>
        <w:t>assistance technique par les États parties pour l’élaboration et la révision de leurs demandes (neuf États parties ont bénéficié du soutien d</w:t>
      </w:r>
      <w:r w:rsidR="00DC76D8">
        <w:t>’</w:t>
      </w:r>
      <w:r>
        <w:t>experts au cours de l</w:t>
      </w:r>
      <w:r w:rsidR="00DC76D8">
        <w:t>’</w:t>
      </w:r>
      <w:r>
        <w:t xml:space="preserve">exercice biennal). </w:t>
      </w:r>
    </w:p>
    <w:p w14:paraId="5D21A807" w14:textId="11073412" w:rsidR="00AB257B" w:rsidRDefault="000210C0" w:rsidP="005F6407">
      <w:pPr>
        <w:pStyle w:val="COMPara"/>
        <w:numPr>
          <w:ilvl w:val="0"/>
          <w:numId w:val="0"/>
        </w:numPr>
        <w:ind w:left="567"/>
        <w:jc w:val="both"/>
      </w:pPr>
      <w:r>
        <w:t>Un rapport détaillé sur la mise en œuvre des mécanismes d</w:t>
      </w:r>
      <w:r w:rsidR="00DC76D8">
        <w:t>’</w:t>
      </w:r>
      <w:r>
        <w:t xml:space="preserve">assistance internationale </w:t>
      </w:r>
      <w:r w:rsidR="0017254A">
        <w:t>se trouve au</w:t>
      </w:r>
      <w:r>
        <w:t xml:space="preserve"> document </w:t>
      </w:r>
      <w:hyperlink r:id="rId19" w:history="1">
        <w:r w:rsidR="00FD0496" w:rsidRPr="00FD0496">
          <w:rPr>
            <w:rStyle w:val="Lienhypertexte"/>
          </w:rPr>
          <w:t>LHE/23/18.COM/10</w:t>
        </w:r>
      </w:hyperlink>
      <w:r w:rsidR="00FD0496">
        <w:t xml:space="preserve">. </w:t>
      </w:r>
    </w:p>
    <w:p w14:paraId="2C1FE2CD" w14:textId="4718DD4D" w:rsidR="00C77B9C" w:rsidRPr="003118BE" w:rsidRDefault="00C77B9C" w:rsidP="005F6407">
      <w:pPr>
        <w:pStyle w:val="COMPara"/>
        <w:numPr>
          <w:ilvl w:val="0"/>
          <w:numId w:val="0"/>
        </w:numPr>
        <w:ind w:left="567"/>
        <w:jc w:val="both"/>
      </w:pPr>
      <w:r>
        <w:rPr>
          <w:noProof/>
        </w:rPr>
        <w:drawing>
          <wp:inline distT="0" distB="0" distL="0" distR="0" wp14:anchorId="2B0A84C3" wp14:editId="0A590644">
            <wp:extent cx="5652000" cy="2812381"/>
            <wp:effectExtent l="0" t="0" r="6350" b="7620"/>
            <wp:docPr id="1766331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2000" cy="2812381"/>
                    </a:xfrm>
                    <a:prstGeom prst="rect">
                      <a:avLst/>
                    </a:prstGeom>
                    <a:noFill/>
                  </pic:spPr>
                </pic:pic>
              </a:graphicData>
            </a:graphic>
          </wp:inline>
        </w:drawing>
      </w:r>
    </w:p>
    <w:p w14:paraId="52D5B73B" w14:textId="68A886AA" w:rsidR="00AB257B" w:rsidRDefault="00AB257B" w:rsidP="00AB257B">
      <w:pPr>
        <w:pStyle w:val="GAPara"/>
        <w:jc w:val="both"/>
      </w:pPr>
      <w:r>
        <w:rPr>
          <w:noProof/>
        </w:rPr>
        <mc:AlternateContent>
          <mc:Choice Requires="wps">
            <w:drawing>
              <wp:inline distT="0" distB="0" distL="0" distR="0" wp14:anchorId="24432364" wp14:editId="3EB181EE">
                <wp:extent cx="5127432" cy="140462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7432" cy="1404620"/>
                        </a:xfrm>
                        <a:prstGeom prst="rect">
                          <a:avLst/>
                        </a:prstGeom>
                        <a:solidFill>
                          <a:srgbClr val="FFFFFF"/>
                        </a:solidFill>
                        <a:ln w="9525">
                          <a:noFill/>
                          <a:miter lim="800000"/>
                          <a:headEnd/>
                          <a:tailEnd/>
                        </a:ln>
                      </wps:spPr>
                      <wps:txbx>
                        <w:txbxContent>
                          <w:p w14:paraId="70A4265C" w14:textId="28C21F78" w:rsidR="00AB257B" w:rsidRPr="000B21E2" w:rsidRDefault="00AB257B" w:rsidP="00AB257B">
                            <w:pPr>
                              <w:spacing w:after="120"/>
                              <w:ind w:right="198"/>
                              <w:rPr>
                                <w:rFonts w:ascii="Arial" w:hAnsi="Arial" w:cs="Arial"/>
                                <w:sz w:val="16"/>
                                <w:szCs w:val="16"/>
                              </w:rPr>
                            </w:pPr>
                            <w:r>
                              <w:rPr>
                                <w:rFonts w:ascii="Arial" w:hAnsi="Arial"/>
                                <w:b/>
                                <w:sz w:val="16"/>
                              </w:rPr>
                              <w:t xml:space="preserve">Figure 2 : </w:t>
                            </w:r>
                            <w:r>
                              <w:rPr>
                                <w:rFonts w:ascii="Arial" w:hAnsi="Arial"/>
                                <w:sz w:val="16"/>
                              </w:rPr>
                              <w:t>Taux de dépense pour l</w:t>
                            </w:r>
                            <w:r w:rsidR="00DC76D8">
                              <w:rPr>
                                <w:rFonts w:ascii="Arial" w:hAnsi="Arial"/>
                                <w:sz w:val="16"/>
                              </w:rPr>
                              <w:t>’</w:t>
                            </w:r>
                            <w:r>
                              <w:rPr>
                                <w:rFonts w:ascii="Arial" w:hAnsi="Arial"/>
                                <w:sz w:val="16"/>
                              </w:rPr>
                              <w:t>assistance internationale et préparatoire</w:t>
                            </w:r>
                          </w:p>
                        </w:txbxContent>
                      </wps:txbx>
                      <wps:bodyPr rot="0" vert="horz" wrap="square" lIns="91440" tIns="45720" rIns="91440" bIns="45720" anchor="t" anchorCtr="0">
                        <a:spAutoFit/>
                      </wps:bodyPr>
                    </wps:wsp>
                  </a:graphicData>
                </a:graphic>
              </wp:inline>
            </w:drawing>
          </mc:Choice>
          <mc:Fallback>
            <w:pict>
              <v:shape w14:anchorId="24432364" id="Text Box 7" o:spid="_x0000_s1027" type="#_x0000_t202" style="width:403.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" stroked="f">
                <v:textbox style="mso-fit-shape-to-text:t">
                  <w:txbxContent>
                    <w:p w14:paraId="70A4265C" w14:textId="28C21F78" w:rsidR="00AB257B" w:rsidRPr="000B21E2" w:rsidRDefault="00AB257B" w:rsidP="00AB257B">
                      <w:pPr>
                        <w:spacing w:after="120"/>
                        <w:ind w:right="198"/>
                        <w:rPr>
                          <w:rFonts w:ascii="Arial" w:hAnsi="Arial" w:cs="Arial"/>
                          <w:sz w:val="16"/>
                          <w:szCs w:val="16"/>
                        </w:rPr>
                      </w:pPr>
                      <w:r>
                        <w:rPr>
                          <w:rFonts w:ascii="Arial" w:hAnsi="Arial"/>
                          <w:b/>
                          <w:sz w:val="16"/>
                        </w:rPr>
                        <w:t xml:space="preserve">Figure 2 : </w:t>
                      </w:r>
                      <w:r>
                        <w:rPr>
                          <w:rFonts w:ascii="Arial" w:hAnsi="Arial"/>
                          <w:sz w:val="16"/>
                        </w:rPr>
                        <w:t>Taux de dépense pour l</w:t>
                      </w:r>
                      <w:r w:rsidR="00DC76D8">
                        <w:rPr>
                          <w:rFonts w:ascii="Arial" w:hAnsi="Arial"/>
                          <w:sz w:val="16"/>
                        </w:rPr>
                        <w:t>’</w:t>
                      </w:r>
                      <w:r>
                        <w:rPr>
                          <w:rFonts w:ascii="Arial" w:hAnsi="Arial"/>
                          <w:sz w:val="16"/>
                        </w:rPr>
                        <w:t>assistance internationale et préparatoire</w:t>
                      </w:r>
                    </w:p>
                  </w:txbxContent>
                </v:textbox>
                <w10:anchorlock/>
              </v:shape>
            </w:pict>
          </mc:Fallback>
        </mc:AlternateContent>
      </w:r>
    </w:p>
    <w:p w14:paraId="45EDA775" w14:textId="3450D708" w:rsidR="00994671" w:rsidRPr="00994671" w:rsidRDefault="00994671" w:rsidP="00AD336E">
      <w:pPr>
        <w:pStyle w:val="COMPara"/>
        <w:numPr>
          <w:ilvl w:val="0"/>
          <w:numId w:val="0"/>
        </w:numPr>
        <w:ind w:firstLine="567"/>
        <w:jc w:val="both"/>
        <w:rPr>
          <w:b/>
          <w:bCs/>
        </w:rPr>
      </w:pPr>
      <w:r>
        <w:rPr>
          <w:b/>
        </w:rPr>
        <w:t>Contributions mises en recouvrement</w:t>
      </w:r>
    </w:p>
    <w:p w14:paraId="09E543A1" w14:textId="5739F332" w:rsidR="006155B5" w:rsidRPr="00557EBD" w:rsidRDefault="006155B5" w:rsidP="006155B5">
      <w:pPr>
        <w:pStyle w:val="COMPara"/>
        <w:numPr>
          <w:ilvl w:val="0"/>
          <w:numId w:val="23"/>
        </w:numPr>
        <w:tabs>
          <w:tab w:val="left" w:pos="567"/>
        </w:tabs>
        <w:spacing w:before="120"/>
        <w:ind w:left="567" w:hanging="567"/>
        <w:jc w:val="both"/>
      </w:pPr>
      <w:r>
        <w:t xml:space="preserve">Il convient de rappeler que le </w:t>
      </w:r>
      <w:r>
        <w:rPr>
          <w:b/>
        </w:rPr>
        <w:t>paiement des contributions</w:t>
      </w:r>
      <w:r>
        <w:t xml:space="preserve"> est une obligation qui incombe à tous les États parties qui ont ratifié la Convention, conformément à son article</w:t>
      </w:r>
      <w:r w:rsidR="00DC76D8">
        <w:t> </w:t>
      </w:r>
      <w:r>
        <w:t>26. Lorsque les États parties exercent les droits et bénéficient des avantages qui leur sont conférés en vertu de la Convention, ils sont également supposés remplir les engagements correspondants en retour. Le manque de liquidités dû aux retards de paiement des contributions mises en recouvrement pourrait retarder, et donc compromettre la mise en œuvre des activités prévues dans le budget.</w:t>
      </w:r>
    </w:p>
    <w:p w14:paraId="70EC97AE" w14:textId="628A72B9" w:rsidR="00475E86" w:rsidRPr="004C77F0" w:rsidRDefault="006155B5" w:rsidP="00475E86">
      <w:pPr>
        <w:pStyle w:val="COMPara"/>
        <w:numPr>
          <w:ilvl w:val="0"/>
          <w:numId w:val="23"/>
        </w:numPr>
        <w:tabs>
          <w:tab w:val="left" w:pos="567"/>
        </w:tabs>
        <w:spacing w:before="120"/>
        <w:ind w:left="567" w:hanging="567"/>
        <w:jc w:val="both"/>
      </w:pPr>
      <w:r>
        <w:t>Comme le montre l</w:t>
      </w:r>
      <w:r w:rsidR="00DC76D8">
        <w:t>’</w:t>
      </w:r>
      <w:hyperlink r:id="rId21" w:history="1">
        <w:r>
          <w:rPr>
            <w:rStyle w:val="Lienhypertexte"/>
          </w:rPr>
          <w:t>état des contributions mises en recouvrement pour la période allant du 1er</w:t>
        </w:r>
        <w:r w:rsidR="00DC76D8">
          <w:rPr>
            <w:rStyle w:val="Lienhypertexte"/>
          </w:rPr>
          <w:t> </w:t>
        </w:r>
        <w:r>
          <w:rPr>
            <w:rStyle w:val="Lienhypertexte"/>
          </w:rPr>
          <w:t>janvier 2022 au 31</w:t>
        </w:r>
        <w:r w:rsidR="00DC76D8">
          <w:rPr>
            <w:rStyle w:val="Lienhypertexte"/>
          </w:rPr>
          <w:t> </w:t>
        </w:r>
        <w:r>
          <w:rPr>
            <w:rStyle w:val="Lienhypertexte"/>
          </w:rPr>
          <w:t>décembre 2023</w:t>
        </w:r>
      </w:hyperlink>
      <w:r>
        <w:t xml:space="preserve">, les </w:t>
      </w:r>
      <w:r>
        <w:rPr>
          <w:b/>
        </w:rPr>
        <w:t>contributions obligatoires</w:t>
      </w:r>
      <w:r>
        <w:t xml:space="preserve"> impayées représentent 410</w:t>
      </w:r>
      <w:r w:rsidR="00DC76D8">
        <w:t> </w:t>
      </w:r>
      <w:r>
        <w:t>153</w:t>
      </w:r>
      <w:r w:rsidR="00DC76D8">
        <w:t> </w:t>
      </w:r>
      <w:r w:rsidR="007F4A9E">
        <w:t xml:space="preserve">dollars </w:t>
      </w:r>
      <w:r w:rsidR="007F4A9E" w:rsidRPr="005339C4">
        <w:rPr>
          <w:rStyle w:val="ui-provider"/>
          <w:lang w:val="fr"/>
        </w:rPr>
        <w:t>des États-Unis</w:t>
      </w:r>
      <w:r w:rsidR="007F4A9E">
        <w:t xml:space="preserve"> </w:t>
      </w:r>
      <w:r>
        <w:t>(contre 409</w:t>
      </w:r>
      <w:r w:rsidR="00DC76D8">
        <w:t> </w:t>
      </w:r>
      <w:r>
        <w:t>948</w:t>
      </w:r>
      <w:r w:rsidR="00DC76D8">
        <w:t> </w:t>
      </w:r>
      <w:r w:rsidR="007F4A9E">
        <w:t xml:space="preserve">dollars </w:t>
      </w:r>
      <w:r w:rsidR="007F4A9E" w:rsidRPr="005339C4">
        <w:rPr>
          <w:rStyle w:val="ui-provider"/>
          <w:lang w:val="fr"/>
        </w:rPr>
        <w:t>des États-Unis</w:t>
      </w:r>
      <w:r>
        <w:t xml:space="preserve"> au 31</w:t>
      </w:r>
      <w:r w:rsidR="00DC76D8">
        <w:t> </w:t>
      </w:r>
      <w:r>
        <w:t>décembre 2021), dont 253</w:t>
      </w:r>
      <w:r w:rsidR="00DC76D8">
        <w:t> </w:t>
      </w:r>
      <w:r>
        <w:t>300</w:t>
      </w:r>
      <w:r w:rsidR="00DC76D8">
        <w:t> </w:t>
      </w:r>
      <w:r w:rsidR="007F4A9E">
        <w:t xml:space="preserve">dollars </w:t>
      </w:r>
      <w:r w:rsidR="007F4A9E" w:rsidRPr="005339C4">
        <w:rPr>
          <w:rStyle w:val="ui-provider"/>
          <w:lang w:val="fr"/>
        </w:rPr>
        <w:t>des États-Unis</w:t>
      </w:r>
      <w:r>
        <w:t xml:space="preserve"> correspondent aux contributions impayées pour 2021 et les années précédentes. Au 31</w:t>
      </w:r>
      <w:r w:rsidR="00DC76D8">
        <w:t> </w:t>
      </w:r>
      <w:r>
        <w:t>décembre 2023, 73</w:t>
      </w:r>
      <w:r w:rsidR="00C77B9C">
        <w:rPr>
          <w:rStyle w:val="Appelnotedebasdep"/>
        </w:rPr>
        <w:footnoteReference w:id="2"/>
      </w:r>
      <w:r w:rsidR="00DC76D8">
        <w:t> </w:t>
      </w:r>
      <w:r>
        <w:t>États parties (42</w:t>
      </w:r>
      <w:r w:rsidR="00DC76D8">
        <w:t> </w:t>
      </w:r>
      <w:r>
        <w:t>% des États parties liés par l</w:t>
      </w:r>
      <w:r w:rsidR="00DC76D8">
        <w:t>’</w:t>
      </w:r>
      <w:r>
        <w:t>article</w:t>
      </w:r>
      <w:r w:rsidR="00DC76D8">
        <w:t> </w:t>
      </w:r>
      <w:r>
        <w:t>26.1 de la Convention) n</w:t>
      </w:r>
      <w:r w:rsidR="00DC76D8">
        <w:t>’</w:t>
      </w:r>
      <w:r>
        <w:t xml:space="preserve">avaient pas payé leurs </w:t>
      </w:r>
      <w:r>
        <w:lastRenderedPageBreak/>
        <w:t>contributions pour 2022-2023. Parmi eux, 28</w:t>
      </w:r>
      <w:r w:rsidR="00DC76D8">
        <w:t> </w:t>
      </w:r>
      <w:r>
        <w:t>États parties (16</w:t>
      </w:r>
      <w:r w:rsidR="00DC76D8">
        <w:t> </w:t>
      </w:r>
      <w:r>
        <w:t>%) n</w:t>
      </w:r>
      <w:r w:rsidR="00DC76D8">
        <w:t>’</w:t>
      </w:r>
      <w:r>
        <w:t xml:space="preserve">avaient pas non plus payé leur contribution pour 2021 et les années précédentes. Les paiements des </w:t>
      </w:r>
      <w:r>
        <w:rPr>
          <w:b/>
        </w:rPr>
        <w:t>contributions volontaires</w:t>
      </w:r>
      <w:r>
        <w:t xml:space="preserve"> des États parties conformément à l</w:t>
      </w:r>
      <w:r w:rsidR="00DC76D8">
        <w:t>’</w:t>
      </w:r>
      <w:r>
        <w:t>article</w:t>
      </w:r>
      <w:r w:rsidR="00DC76D8">
        <w:t> </w:t>
      </w:r>
      <w:r>
        <w:t>26.2 de la Convention représentent 92</w:t>
      </w:r>
      <w:r w:rsidR="00DC76D8">
        <w:t> </w:t>
      </w:r>
      <w:r>
        <w:t>% du montant mis en recouvrement pour l</w:t>
      </w:r>
      <w:r w:rsidR="00DC76D8">
        <w:t>’</w:t>
      </w:r>
      <w:r>
        <w:t>exercice biennal</w:t>
      </w:r>
      <w:r w:rsidR="00DC76D8">
        <w:t> </w:t>
      </w:r>
      <w:r>
        <w:t>2022-2023</w:t>
      </w:r>
      <w:r w:rsidR="00F30C83">
        <w:t xml:space="preserve"> ce qui supérieur </w:t>
      </w:r>
      <w:r w:rsidR="00957E7B">
        <w:t xml:space="preserve">à </w:t>
      </w:r>
      <w:r>
        <w:t>l</w:t>
      </w:r>
      <w:r w:rsidR="00DC76D8">
        <w:t>’</w:t>
      </w:r>
      <w:r>
        <w:t>exercice biennal précédent</w:t>
      </w:r>
      <w:r w:rsidR="00DC76D8">
        <w:t> </w:t>
      </w:r>
      <w:r>
        <w:t>2020-2021 (</w:t>
      </w:r>
      <w:r w:rsidR="00957E7B">
        <w:t>76 </w:t>
      </w:r>
      <w:r>
        <w:t>%).</w:t>
      </w:r>
    </w:p>
    <w:p w14:paraId="542BA7ED" w14:textId="77777777" w:rsidR="005F6747" w:rsidRPr="00E61198" w:rsidRDefault="005F6747" w:rsidP="005F6747">
      <w:pPr>
        <w:pStyle w:val="COMPara"/>
        <w:numPr>
          <w:ilvl w:val="0"/>
          <w:numId w:val="0"/>
        </w:numPr>
        <w:ind w:firstLine="567"/>
        <w:rPr>
          <w:b/>
          <w:bCs/>
        </w:rPr>
      </w:pPr>
      <w:r>
        <w:rPr>
          <w:b/>
        </w:rPr>
        <w:t>Perspectives pour les cycles budgétaires à venir</w:t>
      </w:r>
    </w:p>
    <w:p w14:paraId="32ED96C7" w14:textId="3726CE7E" w:rsidR="00631192" w:rsidRPr="00E503E8" w:rsidRDefault="005F6747" w:rsidP="005F6747">
      <w:pPr>
        <w:pStyle w:val="COMPara"/>
        <w:numPr>
          <w:ilvl w:val="0"/>
          <w:numId w:val="23"/>
        </w:numPr>
        <w:ind w:left="567" w:hanging="567"/>
        <w:jc w:val="both"/>
        <w:rPr>
          <w:bCs/>
        </w:rPr>
      </w:pPr>
      <w:r w:rsidRPr="00333F6C">
        <w:t>Bien que la santé du Fonds reste solide, il convient de noter que si le niveau des dépenses se maintient à un niveau aussi élevé (c</w:t>
      </w:r>
      <w:r w:rsidR="00DC76D8" w:rsidRPr="00333F6C">
        <w:t>’</w:t>
      </w:r>
      <w:r w:rsidRPr="00333F6C">
        <w:t xml:space="preserve">est-à-dire supérieur au niveau des contributions obligatoires reçues au cours de chaque exercice biennal), le budget approuvé devra diminuer au cours des exercices biennaux à venir. </w:t>
      </w:r>
      <w:r w:rsidR="00631192" w:rsidRPr="00333F6C">
        <w:rPr>
          <w:bCs/>
        </w:rPr>
        <w:t>La situation du Fonds, qui doit être en mesure de répondre aux besoins de sauvegarde des États parties décrits dans la partie II ci-dessous, ne doit pas être considérée comme acquise. Un suivi étroit est nécessaire</w:t>
      </w:r>
      <w:r w:rsidR="0017254A" w:rsidRPr="00333F6C">
        <w:rPr>
          <w:bCs/>
        </w:rPr>
        <w:t>,</w:t>
      </w:r>
      <w:r w:rsidR="00631192" w:rsidRPr="00333F6C">
        <w:rPr>
          <w:bCs/>
        </w:rPr>
        <w:t xml:space="preserve"> au-delà du court terme</w:t>
      </w:r>
      <w:r w:rsidR="0017254A" w:rsidRPr="00333F6C">
        <w:rPr>
          <w:bCs/>
        </w:rPr>
        <w:t>,</w:t>
      </w:r>
      <w:r w:rsidR="00631192" w:rsidRPr="00333F6C">
        <w:rPr>
          <w:bCs/>
        </w:rPr>
        <w:t xml:space="preserve"> pour assurer la durabilité de la mise en œuvre de la Convention de 2003, y compris les besoins en termes de ressources humaines</w:t>
      </w:r>
    </w:p>
    <w:p w14:paraId="2206950C" w14:textId="2E6D38A8" w:rsidR="00E61198" w:rsidRPr="00E61198" w:rsidRDefault="00E61198" w:rsidP="00CA352E">
      <w:pPr>
        <w:pStyle w:val="COMPara"/>
        <w:numPr>
          <w:ilvl w:val="0"/>
          <w:numId w:val="0"/>
        </w:numPr>
        <w:ind w:firstLine="567"/>
        <w:rPr>
          <w:b/>
          <w:bCs/>
        </w:rPr>
      </w:pPr>
      <w:r w:rsidRPr="00333F6C">
        <w:rPr>
          <w:b/>
        </w:rPr>
        <w:t>Mise à jour du sous-fonds destiné à renforcer les ressources humaines du Secrétariat</w:t>
      </w:r>
    </w:p>
    <w:p w14:paraId="7E93D587" w14:textId="79722C83" w:rsidR="00125C5B" w:rsidRDefault="005912DF" w:rsidP="00125C5B">
      <w:pPr>
        <w:pStyle w:val="COMPara"/>
        <w:numPr>
          <w:ilvl w:val="0"/>
          <w:numId w:val="23"/>
        </w:numPr>
        <w:tabs>
          <w:tab w:val="left" w:pos="567"/>
        </w:tabs>
        <w:spacing w:before="120"/>
        <w:ind w:left="567" w:hanging="567"/>
        <w:jc w:val="both"/>
      </w:pPr>
      <w:r>
        <w:t>Le sous-fonds, destiné à renforcer les capacités humaines du Secrétariat, a été créé par l</w:t>
      </w:r>
      <w:r w:rsidR="00DC76D8">
        <w:t>’</w:t>
      </w:r>
      <w:r>
        <w:t>Assemblée générale en juin 2010 (</w:t>
      </w:r>
      <w:r w:rsidR="00212B46">
        <w:t>R</w:t>
      </w:r>
      <w:r>
        <w:t>ésolution</w:t>
      </w:r>
      <w:r w:rsidR="00DC76D8">
        <w:t> </w:t>
      </w:r>
      <w:hyperlink r:id="rId22" w:history="1">
        <w:r>
          <w:rPr>
            <w:rStyle w:val="Lienhypertexte"/>
          </w:rPr>
          <w:t>3.GA</w:t>
        </w:r>
        <w:r w:rsidR="00DC76D8">
          <w:rPr>
            <w:rStyle w:val="Lienhypertexte"/>
          </w:rPr>
          <w:t> </w:t>
        </w:r>
        <w:r>
          <w:rPr>
            <w:rStyle w:val="Lienhypertexte"/>
          </w:rPr>
          <w:t>9</w:t>
        </w:r>
      </w:hyperlink>
      <w:r>
        <w:t>) afin de soutenir durablement le Secrétariat, ainsi que lui permettre de répondre aux besoins exprimés par les États parties. L</w:t>
      </w:r>
      <w:r w:rsidR="00DC76D8">
        <w:t>’</w:t>
      </w:r>
      <w:r>
        <w:t>objectif annuel du fonds a été fixé à 950</w:t>
      </w:r>
      <w:r w:rsidR="00DC76D8">
        <w:t> </w:t>
      </w:r>
      <w:r>
        <w:t>000</w:t>
      </w:r>
      <w:r w:rsidR="00DC76D8">
        <w:t> </w:t>
      </w:r>
      <w:r w:rsidR="007F4A9E">
        <w:t xml:space="preserve">dollars </w:t>
      </w:r>
      <w:r w:rsidR="007F4A9E" w:rsidRPr="005339C4">
        <w:rPr>
          <w:rStyle w:val="ui-provider"/>
          <w:lang w:val="fr"/>
        </w:rPr>
        <w:t>des États-Unis</w:t>
      </w:r>
      <w:r w:rsidR="007F4A9E">
        <w:t xml:space="preserve"> </w:t>
      </w:r>
      <w:r>
        <w:t>par an par l</w:t>
      </w:r>
      <w:r w:rsidR="00DC76D8">
        <w:t>’</w:t>
      </w:r>
      <w:r>
        <w:t>Assemblée générale en 2020 (Résolution</w:t>
      </w:r>
      <w:r w:rsidR="00DC76D8">
        <w:t> </w:t>
      </w:r>
      <w:hyperlink r:id="rId23" w:history="1">
        <w:r>
          <w:rPr>
            <w:rStyle w:val="Lienhypertexte"/>
          </w:rPr>
          <w:t>8.GA</w:t>
        </w:r>
        <w:r w:rsidR="00DC76D8">
          <w:rPr>
            <w:rStyle w:val="Lienhypertexte"/>
          </w:rPr>
          <w:t> </w:t>
        </w:r>
        <w:r>
          <w:rPr>
            <w:rStyle w:val="Lienhypertexte"/>
          </w:rPr>
          <w:t>7</w:t>
        </w:r>
      </w:hyperlink>
      <w:r>
        <w:t>). Au cours de l</w:t>
      </w:r>
      <w:r w:rsidR="00DC76D8">
        <w:t>’</w:t>
      </w:r>
      <w:r>
        <w:t>exercice</w:t>
      </w:r>
      <w:r w:rsidR="00DC76D8">
        <w:t> </w:t>
      </w:r>
      <w:r>
        <w:t>2022-2023, huit contributions volontaires ont été reçues de la France (deux fois), de la Lituanie (deux fois), de Monaco (deux fois), de la Slovaquie et de la Slovénie pour un montant total de 224</w:t>
      </w:r>
      <w:r w:rsidR="00DC76D8">
        <w:t> </w:t>
      </w:r>
      <w:r>
        <w:t>645</w:t>
      </w:r>
      <w:r w:rsidR="00DC76D8">
        <w:t> </w:t>
      </w:r>
      <w:r w:rsidR="007F4A9E">
        <w:t xml:space="preserve">dollars </w:t>
      </w:r>
      <w:r w:rsidR="007F4A9E" w:rsidRPr="005339C4">
        <w:rPr>
          <w:rStyle w:val="ui-provider"/>
          <w:lang w:val="fr"/>
        </w:rPr>
        <w:t>des États-Unis</w:t>
      </w:r>
      <w:r>
        <w:t>. Ce montant correspond à 12</w:t>
      </w:r>
      <w:r w:rsidR="00DC76D8">
        <w:t> </w:t>
      </w:r>
      <w:r>
        <w:t>% de l</w:t>
      </w:r>
      <w:r w:rsidR="00DC76D8">
        <w:t>’</w:t>
      </w:r>
      <w:r>
        <w:t>objectif biennal approuvé par l</w:t>
      </w:r>
      <w:r w:rsidR="00DC76D8">
        <w:t>’</w:t>
      </w:r>
      <w:r>
        <w:t xml:space="preserve">Assemblée générale en 2020. </w:t>
      </w:r>
    </w:p>
    <w:p w14:paraId="426A68D0" w14:textId="69E6EE85" w:rsidR="00994671" w:rsidRPr="00305796" w:rsidRDefault="00CD2851" w:rsidP="006B4B76">
      <w:pPr>
        <w:pStyle w:val="COMParabodytext"/>
        <w:numPr>
          <w:ilvl w:val="0"/>
          <w:numId w:val="23"/>
        </w:numPr>
        <w:ind w:left="567" w:hanging="567"/>
      </w:pPr>
      <w:r>
        <w:t>La Convention continue de connaître (i) une expansion géographique (181 États parties au 31</w:t>
      </w:r>
      <w:r w:rsidR="00DC76D8">
        <w:t> </w:t>
      </w:r>
      <w:r>
        <w:t>décembre 2023), (ii) la mise en œuvre continue d</w:t>
      </w:r>
      <w:r w:rsidR="00DC76D8">
        <w:t>’</w:t>
      </w:r>
      <w:r>
        <w:t>initiatives telles que «</w:t>
      </w:r>
      <w:r w:rsidR="00DC76D8">
        <w:t> </w:t>
      </w:r>
      <w:r>
        <w:t>la sauvegarde du patrimoine culturel immatériel dans l</w:t>
      </w:r>
      <w:r w:rsidR="00DC76D8">
        <w:t>’</w:t>
      </w:r>
      <w:r>
        <w:t>éducation formelle et non formelle</w:t>
      </w:r>
      <w:r w:rsidR="00DC76D8">
        <w:t> </w:t>
      </w:r>
      <w:r>
        <w:t>», (iii) le lancement de nouvelles initiatives thématiques sur les «</w:t>
      </w:r>
      <w:r w:rsidR="00DC76D8">
        <w:t> </w:t>
      </w:r>
      <w:r>
        <w:t>dimensions économiques de la sauvegarde du patrimoine culturel immatériel</w:t>
      </w:r>
      <w:r w:rsidR="00DC76D8">
        <w:t> </w:t>
      </w:r>
      <w:r>
        <w:t>», «</w:t>
      </w:r>
      <w:r w:rsidR="00DC76D8">
        <w:t> </w:t>
      </w:r>
      <w:r>
        <w:t>la sauvegarde du patrimoine culturel immatériel et le changement climatique</w:t>
      </w:r>
      <w:r w:rsidR="00DC76D8">
        <w:t> </w:t>
      </w:r>
      <w:r>
        <w:t>» et «</w:t>
      </w:r>
      <w:r w:rsidR="00DC76D8">
        <w:t> </w:t>
      </w:r>
      <w:r>
        <w:t>la sauvegarde du patrimoine culturel immatériel dans les contextes urbains</w:t>
      </w:r>
      <w:r w:rsidR="00DC76D8">
        <w:t> </w:t>
      </w:r>
      <w:r>
        <w:t>», et, entre autres, (iv) la mise en œuvre des résultats de la réflexion sur une mise en œuvre plus large de l</w:t>
      </w:r>
      <w:r w:rsidR="00DC76D8">
        <w:t>’</w:t>
      </w:r>
      <w:r>
        <w:t>article</w:t>
      </w:r>
      <w:r w:rsidR="00DC76D8">
        <w:t> </w:t>
      </w:r>
      <w:r>
        <w:t>18 et de ceux de la réflexion globale sur les mécanismes d</w:t>
      </w:r>
      <w:r w:rsidR="00DC76D8">
        <w:t>’</w:t>
      </w:r>
      <w:r>
        <w:t xml:space="preserve">inscription sur </w:t>
      </w:r>
      <w:r w:rsidR="000C2AEA">
        <w:t xml:space="preserve">les listes </w:t>
      </w:r>
      <w:r>
        <w:t>de la Convention. Ces multiples développements démontrent la grande pertinence de la Convention pour les États et les communautés</w:t>
      </w:r>
      <w:r w:rsidR="00DC76D8">
        <w:t> </w:t>
      </w:r>
      <w:r>
        <w:t>; ils sont positifs pour le présent et l</w:t>
      </w:r>
      <w:r w:rsidR="00DC76D8">
        <w:t>’</w:t>
      </w:r>
      <w:r>
        <w:t>avenir de sa mise en œuvre. Il convient toutefois de garder à l</w:t>
      </w:r>
      <w:r w:rsidR="00DC76D8">
        <w:t>’</w:t>
      </w:r>
      <w:r>
        <w:t>esprit que ces initiatives nécessitent un soutien continu de la part du Secrétariat. À cette fin, l</w:t>
      </w:r>
      <w:r w:rsidR="00DC76D8">
        <w:t>’</w:t>
      </w:r>
      <w:r>
        <w:t>Assemblée générale souhaitera peut-être prendre en considération certaines implications en termes de ressources humaines afin de s</w:t>
      </w:r>
      <w:r w:rsidR="00DC76D8">
        <w:t>’</w:t>
      </w:r>
      <w:r>
        <w:t>assurer que le Secrétariat soit à même de fournir un soutien adéquat à ces nouvelles actions. Dans le cas contraire, certaines de ces initiatives devront être suspendues en fonction des priorités qui seront définies par les organes directeurs. À cet égard, il est important de rappeler que l</w:t>
      </w:r>
      <w:r w:rsidR="00DC76D8">
        <w:t>’</w:t>
      </w:r>
      <w:r>
        <w:t>objectif fixé par l</w:t>
      </w:r>
      <w:r w:rsidR="00DC76D8">
        <w:t>’</w:t>
      </w:r>
      <w:r>
        <w:t>Assemblée générale depuis la création du Fonds en 2010 n</w:t>
      </w:r>
      <w:r w:rsidR="00DC76D8">
        <w:t>’</w:t>
      </w:r>
      <w:r>
        <w:t>a jamais été atteint. De fait, les contributions au sous-fonds ont diminué au cours des quatorze dernières années, passant de 511</w:t>
      </w:r>
      <w:r w:rsidR="00DC76D8">
        <w:t> </w:t>
      </w:r>
      <w:r>
        <w:t>885</w:t>
      </w:r>
      <w:r w:rsidR="00DC76D8">
        <w:t> </w:t>
      </w:r>
      <w:r w:rsidR="007F4A9E">
        <w:t xml:space="preserve">dollars </w:t>
      </w:r>
      <w:r w:rsidR="007F4A9E" w:rsidRPr="005339C4">
        <w:rPr>
          <w:rStyle w:val="ui-provider"/>
          <w:lang w:val="fr"/>
        </w:rPr>
        <w:t>des États-Unis</w:t>
      </w:r>
      <w:r>
        <w:t xml:space="preserve"> en 2010-2011 (23</w:t>
      </w:r>
      <w:r w:rsidR="00DC76D8">
        <w:t> </w:t>
      </w:r>
      <w:r>
        <w:t>% de l</w:t>
      </w:r>
      <w:r w:rsidR="00DC76D8">
        <w:t>’</w:t>
      </w:r>
      <w:r>
        <w:t>objectif, le taux le plus élevé jamais atteint) à 224</w:t>
      </w:r>
      <w:r w:rsidR="00DC76D8">
        <w:t> </w:t>
      </w:r>
      <w:r>
        <w:t>645</w:t>
      </w:r>
      <w:r w:rsidR="00DC76D8">
        <w:t> </w:t>
      </w:r>
      <w:r w:rsidR="007F4A9E">
        <w:t xml:space="preserve">dollars </w:t>
      </w:r>
      <w:r w:rsidR="007F4A9E" w:rsidRPr="005339C4">
        <w:rPr>
          <w:rStyle w:val="ui-provider"/>
          <w:lang w:val="fr"/>
        </w:rPr>
        <w:t>des États-Unis</w:t>
      </w:r>
      <w:r>
        <w:t xml:space="preserve"> au cours du dernier exercice biennal. </w:t>
      </w:r>
    </w:p>
    <w:p w14:paraId="77321678" w14:textId="77B9C9F1" w:rsidR="00D63318" w:rsidRPr="000C2AEA" w:rsidRDefault="00994671" w:rsidP="00E503E8">
      <w:pPr>
        <w:pStyle w:val="Titre4"/>
        <w:spacing w:before="240" w:after="120"/>
        <w:ind w:hanging="283"/>
        <w:jc w:val="both"/>
      </w:pPr>
      <w:bookmarkStart w:id="3" w:name="PartII"/>
      <w:r w:rsidRPr="000C2AEA">
        <w:t xml:space="preserve">LIGNES BUDGÉTAIRES ET ALLOCATIONS </w:t>
      </w:r>
      <w:r w:rsidR="000C2AEA" w:rsidRPr="00E503E8">
        <w:t>POUR LE</w:t>
      </w:r>
      <w:r w:rsidRPr="000C2AEA">
        <w:t xml:space="preserve"> 42</w:t>
      </w:r>
      <w:r w:rsidR="00DC76D8" w:rsidRPr="000C2AEA">
        <w:t> </w:t>
      </w:r>
      <w:r w:rsidRPr="000C2AEA">
        <w:t xml:space="preserve">C/5 (2024-2025) </w:t>
      </w:r>
    </w:p>
    <w:bookmarkEnd w:id="3"/>
    <w:p w14:paraId="1FF7FFFE" w14:textId="7A675FE5" w:rsidR="0001467E" w:rsidRPr="0001467E" w:rsidRDefault="0001467E" w:rsidP="0001467E">
      <w:pPr>
        <w:pStyle w:val="COMPara"/>
        <w:numPr>
          <w:ilvl w:val="0"/>
          <w:numId w:val="23"/>
        </w:numPr>
        <w:ind w:left="567" w:hanging="567"/>
        <w:jc w:val="both"/>
      </w:pPr>
      <w:r>
        <w:t>Le projet de plan proposé ci-dessous est basé sur le solde du fonds disponible pour les activités du programme au 31</w:t>
      </w:r>
      <w:r w:rsidR="00DC76D8">
        <w:t> </w:t>
      </w:r>
      <w:r>
        <w:t>décembre 2023, à l</w:t>
      </w:r>
      <w:r w:rsidR="00DC76D8">
        <w:t>’</w:t>
      </w:r>
      <w:r>
        <w:t>exclusion du Fonds de réserve, soit 8,19</w:t>
      </w:r>
      <w:r w:rsidR="00DC76D8">
        <w:t> </w:t>
      </w:r>
      <w:r>
        <w:t xml:space="preserve">millions de </w:t>
      </w:r>
      <w:r w:rsidR="007F4A9E">
        <w:t xml:space="preserve">dollars </w:t>
      </w:r>
      <w:r w:rsidR="007F4A9E" w:rsidRPr="005339C4">
        <w:rPr>
          <w:rStyle w:val="ui-provider"/>
          <w:lang w:val="fr"/>
        </w:rPr>
        <w:t>des États-Unis</w:t>
      </w:r>
      <w:r>
        <w:t>. Cela représente une diminution par rapport au budget approuvé par la neuvième session de l</w:t>
      </w:r>
      <w:r w:rsidR="00DC76D8">
        <w:t>’</w:t>
      </w:r>
      <w:r>
        <w:t>Assemblée générale, qui s</w:t>
      </w:r>
      <w:r w:rsidR="00DC76D8">
        <w:t>’</w:t>
      </w:r>
      <w:r>
        <w:t>élevait à 8,73</w:t>
      </w:r>
      <w:r w:rsidR="00DC76D8">
        <w:t> </w:t>
      </w:r>
      <w:r>
        <w:t xml:space="preserve">millions de </w:t>
      </w:r>
      <w:r w:rsidR="007F4A9E">
        <w:t xml:space="preserve">dollars </w:t>
      </w:r>
      <w:r w:rsidR="007F4A9E" w:rsidRPr="005339C4">
        <w:rPr>
          <w:rStyle w:val="ui-provider"/>
          <w:lang w:val="fr"/>
        </w:rPr>
        <w:t>des États-Unis</w:t>
      </w:r>
      <w:bookmarkStart w:id="4" w:name="_Hlk147502296"/>
      <w:r w:rsidR="00B458A7">
        <w:t xml:space="preserve"> </w:t>
      </w:r>
      <w:r>
        <w:t>(</w:t>
      </w:r>
      <w:r w:rsidR="00212B46">
        <w:t>R</w:t>
      </w:r>
      <w:r>
        <w:t>ésolution</w:t>
      </w:r>
      <w:r w:rsidR="00DC76D8">
        <w:t> </w:t>
      </w:r>
      <w:hyperlink r:id="rId24" w:history="1">
        <w:r>
          <w:rPr>
            <w:rStyle w:val="Lienhypertexte"/>
          </w:rPr>
          <w:t>9.GA</w:t>
        </w:r>
        <w:r w:rsidR="00DC76D8">
          <w:rPr>
            <w:rStyle w:val="Lienhypertexte"/>
          </w:rPr>
          <w:t> </w:t>
        </w:r>
        <w:r>
          <w:rPr>
            <w:rStyle w:val="Lienhypertexte"/>
          </w:rPr>
          <w:t>10</w:t>
        </w:r>
        <w:r w:rsidRPr="00E503E8">
          <w:rPr>
            <w:rStyle w:val="Lienhypertexte"/>
            <w:color w:val="auto"/>
          </w:rPr>
          <w:t>)</w:t>
        </w:r>
      </w:hyperlink>
      <w:bookmarkEnd w:id="4"/>
      <w:r>
        <w:t>.</w:t>
      </w:r>
    </w:p>
    <w:p w14:paraId="319D0CCD" w14:textId="703EAA98" w:rsidR="0001467E" w:rsidRDefault="0001467E" w:rsidP="0001467E">
      <w:pPr>
        <w:pStyle w:val="COMPara"/>
        <w:numPr>
          <w:ilvl w:val="0"/>
          <w:numId w:val="23"/>
        </w:numPr>
        <w:ind w:left="567" w:hanging="567"/>
        <w:jc w:val="both"/>
      </w:pPr>
      <w:r>
        <w:lastRenderedPageBreak/>
        <w:t>La proposition d</w:t>
      </w:r>
      <w:r w:rsidR="00DC76D8">
        <w:t>’</w:t>
      </w:r>
      <w:r>
        <w:t xml:space="preserve">allocation de fonds pour le </w:t>
      </w:r>
      <w:bookmarkStart w:id="5" w:name="_Hlk100226655"/>
      <w:r w:rsidRPr="006055D9">
        <w:t>42</w:t>
      </w:r>
      <w:r w:rsidRPr="00E503E8">
        <w:t>C/5</w:t>
      </w:r>
      <w:r w:rsidR="000C2AEA">
        <w:t xml:space="preserve"> </w:t>
      </w:r>
      <w:r w:rsidRPr="006055D9">
        <w:t>(</w:t>
      </w:r>
      <w:r>
        <w:t xml:space="preserve">2024-2025) </w:t>
      </w:r>
      <w:bookmarkEnd w:id="5"/>
      <w:r>
        <w:t>suit la structure basée sur les lignes budgétaires qui a été utilisée pour les exercices équivalents précédents. Ces lignes budgétaires peuvent être divisées en trois catégories, à savoir les dépenses liées a) à l</w:t>
      </w:r>
      <w:r w:rsidR="00DC76D8">
        <w:t>’</w:t>
      </w:r>
      <w:r>
        <w:t>assistance internationale</w:t>
      </w:r>
      <w:r w:rsidR="00DC76D8">
        <w:t> </w:t>
      </w:r>
      <w:r>
        <w:t>; b) aux «</w:t>
      </w:r>
      <w:r w:rsidR="00DC76D8">
        <w:t> </w:t>
      </w:r>
      <w:r>
        <w:t>autres fonctions du Comité</w:t>
      </w:r>
      <w:r w:rsidR="00DC76D8">
        <w:t> </w:t>
      </w:r>
      <w:r>
        <w:t>» au sens de l</w:t>
      </w:r>
      <w:r w:rsidR="00DC76D8">
        <w:t>’</w:t>
      </w:r>
      <w:r>
        <w:t>article</w:t>
      </w:r>
      <w:r w:rsidR="00DC76D8">
        <w:t> </w:t>
      </w:r>
      <w:r>
        <w:t>7 de la Convention</w:t>
      </w:r>
      <w:r w:rsidR="00DC76D8">
        <w:t> </w:t>
      </w:r>
      <w:r>
        <w:t xml:space="preserve">; et c) à la participation aux réunions des organes directeurs et aux services consultatifs du Comité. Toutefois, quelques ajustements sont proposés entre les différentes lignes budgétaires, comme décrit dans les paragraphes ci-dessous. </w:t>
      </w:r>
    </w:p>
    <w:p w14:paraId="12ACCCD8" w14:textId="7AA89F47" w:rsidR="0001467E" w:rsidRPr="0001467E" w:rsidRDefault="0001467E" w:rsidP="00CA352E">
      <w:pPr>
        <w:pStyle w:val="COMPara"/>
        <w:numPr>
          <w:ilvl w:val="0"/>
          <w:numId w:val="0"/>
        </w:numPr>
        <w:ind w:firstLine="567"/>
        <w:jc w:val="both"/>
        <w:rPr>
          <w:b/>
          <w:bCs/>
        </w:rPr>
      </w:pPr>
      <w:r>
        <w:rPr>
          <w:b/>
        </w:rPr>
        <w:t>Assistance internationale</w:t>
      </w:r>
    </w:p>
    <w:p w14:paraId="11DA1986" w14:textId="2AF780E7" w:rsidR="00E63241" w:rsidRPr="00E63241" w:rsidRDefault="00E63241" w:rsidP="00E63241">
      <w:pPr>
        <w:pStyle w:val="COMPara"/>
        <w:numPr>
          <w:ilvl w:val="0"/>
          <w:numId w:val="23"/>
        </w:numPr>
        <w:ind w:left="567" w:hanging="567"/>
        <w:jc w:val="both"/>
      </w:pPr>
      <w:r>
        <w:t>Conformément aux priorités fixées par les Orientations pour l</w:t>
      </w:r>
      <w:r w:rsidR="00DC76D8">
        <w:t>’</w:t>
      </w:r>
      <w:r>
        <w:t>utilisation des ressources du Fonds au chapitre</w:t>
      </w:r>
      <w:r w:rsidR="00DC76D8">
        <w:t> </w:t>
      </w:r>
      <w:r>
        <w:t>II.1 des Directives opérationnelles, il est proposé que la majorité des ressources (65,1</w:t>
      </w:r>
      <w:r w:rsidR="00DC76D8">
        <w:t> </w:t>
      </w:r>
      <w:r>
        <w:t xml:space="preserve">%) soit allouée à </w:t>
      </w:r>
      <w:r w:rsidR="000C2AEA">
        <w:t>l’attribution de l’</w:t>
      </w:r>
      <w:r>
        <w:t xml:space="preserve">assistance internationale aux États parties </w:t>
      </w:r>
      <w:r w:rsidR="000C2AEA">
        <w:t xml:space="preserve">afin de </w:t>
      </w:r>
      <w:r>
        <w:t>compléter leurs efforts nationaux de sauvegarde du patrimoine culturel immatériel</w:t>
      </w:r>
      <w:r w:rsidR="00B458A7">
        <w:t xml:space="preserve"> </w:t>
      </w:r>
      <w:r>
        <w:rPr>
          <w:b/>
        </w:rPr>
        <w:t>(lignes budgétaires</w:t>
      </w:r>
      <w:r w:rsidR="00DC76D8">
        <w:rPr>
          <w:b/>
        </w:rPr>
        <w:t> </w:t>
      </w:r>
      <w:r>
        <w:rPr>
          <w:b/>
        </w:rPr>
        <w:t>1, 1.1 et 2</w:t>
      </w:r>
      <w:r>
        <w:t>).</w:t>
      </w:r>
    </w:p>
    <w:p w14:paraId="115BFAF8" w14:textId="3911E254" w:rsidR="00E63241" w:rsidRPr="00E63241" w:rsidRDefault="00E63241" w:rsidP="00E63241">
      <w:pPr>
        <w:pStyle w:val="COMPara"/>
        <w:numPr>
          <w:ilvl w:val="0"/>
          <w:numId w:val="23"/>
        </w:numPr>
        <w:ind w:left="567" w:hanging="567"/>
        <w:jc w:val="both"/>
      </w:pPr>
      <w:r>
        <w:t xml:space="preserve">Dans le cadre de ce pourcentage combiné, les fonds alloués à la </w:t>
      </w:r>
      <w:r>
        <w:rPr>
          <w:b/>
        </w:rPr>
        <w:t>ligne budgétaire</w:t>
      </w:r>
      <w:r w:rsidR="00DC76D8">
        <w:rPr>
          <w:b/>
        </w:rPr>
        <w:t> </w:t>
      </w:r>
      <w:r>
        <w:rPr>
          <w:b/>
        </w:rPr>
        <w:t>1</w:t>
      </w:r>
      <w:r>
        <w:t xml:space="preserve"> (50</w:t>
      </w:r>
      <w:r w:rsidR="00DC76D8">
        <w:t> </w:t>
      </w:r>
      <w:r>
        <w:t>%) sont prévus pour soutenir les États par le biais des mécanismes d</w:t>
      </w:r>
      <w:r w:rsidR="00DC76D8">
        <w:t>’</w:t>
      </w:r>
      <w:r>
        <w:t>assistance internationale, dans la sauvegarde du patrimoine inscrit sur la Liste du patrimoine culturel immatériel nécessitant une sauvegarde urgente, la préparation d</w:t>
      </w:r>
      <w:r w:rsidR="00DC76D8">
        <w:t>’</w:t>
      </w:r>
      <w:r>
        <w:t>inventaires et d</w:t>
      </w:r>
      <w:r w:rsidR="00DC76D8">
        <w:t>’</w:t>
      </w:r>
      <w:r>
        <w:t>autres programmes et projets de sauvegarde. Il est proposé de maintenir l</w:t>
      </w:r>
      <w:r w:rsidR="00DC76D8">
        <w:t>’</w:t>
      </w:r>
      <w:r>
        <w:t>allocation de la ligne budgétaire</w:t>
      </w:r>
      <w:r w:rsidR="00DC76D8">
        <w:t> </w:t>
      </w:r>
      <w:r>
        <w:t>1 au même niveau afin de permettre aux États parties de renforcer leurs efforts de sauvegarde, en mettant particulièrement l</w:t>
      </w:r>
      <w:r w:rsidR="00DC76D8">
        <w:t>’</w:t>
      </w:r>
      <w:r>
        <w:t xml:space="preserve">accent sur la région Afrique et les </w:t>
      </w:r>
      <w:r w:rsidRPr="00333F6C">
        <w:t>PEID.</w:t>
      </w:r>
      <w:r>
        <w:t xml:space="preserve"> Ces ressources substantielles seront utilisées afin d’octroyer des fonds à un maximum de projets de sauvegarde, approuvés par le Comité et le Bureau, à condition que ces projets répondent aux critères de l</w:t>
      </w:r>
      <w:r w:rsidR="00DC76D8">
        <w:t>’</w:t>
      </w:r>
      <w:r>
        <w:t>assistance internationale.</w:t>
      </w:r>
    </w:p>
    <w:p w14:paraId="1AD5C246" w14:textId="56373E64" w:rsidR="00D63318" w:rsidRPr="00957E7B" w:rsidRDefault="00E63241" w:rsidP="00957E7B">
      <w:pPr>
        <w:pStyle w:val="COMPara"/>
        <w:numPr>
          <w:ilvl w:val="0"/>
          <w:numId w:val="23"/>
        </w:numPr>
        <w:ind w:left="567" w:hanging="567"/>
        <w:jc w:val="both"/>
      </w:pPr>
      <w:r w:rsidRPr="00287386">
        <w:t>Suite aux conclusions de l</w:t>
      </w:r>
      <w:r w:rsidR="00DC76D8" w:rsidRPr="00287386">
        <w:t>’</w:t>
      </w:r>
      <w:r w:rsidRPr="00287386">
        <w:t>évaluation de 2021 par le Service d</w:t>
      </w:r>
      <w:r w:rsidR="00DC76D8" w:rsidRPr="00287386">
        <w:t>’</w:t>
      </w:r>
      <w:r w:rsidRPr="00287386">
        <w:t>évaluation et d</w:t>
      </w:r>
      <w:r w:rsidR="00DC76D8" w:rsidRPr="00287386">
        <w:t>’</w:t>
      </w:r>
      <w:r w:rsidRPr="00287386">
        <w:t>audit (IOS) de l</w:t>
      </w:r>
      <w:r w:rsidR="00DC76D8" w:rsidRPr="00287386">
        <w:t>’</w:t>
      </w:r>
      <w:r w:rsidRPr="00287386">
        <w:t>action de l</w:t>
      </w:r>
      <w:r w:rsidR="00DC76D8" w:rsidRPr="00287386">
        <w:t>’</w:t>
      </w:r>
      <w:r w:rsidRPr="00287386">
        <w:t>UNESCO dans le cadre de la Convention de 2003 pour la sauvegarde du patrimoine culturel immatériel (voir les Recommandations</w:t>
      </w:r>
      <w:r w:rsidR="00014860" w:rsidRPr="00287386">
        <w:t xml:space="preserve"> </w:t>
      </w:r>
      <w:r w:rsidRPr="00287386">
        <w:t xml:space="preserve">5 et 6 du document </w:t>
      </w:r>
      <w:hyperlink r:id="rId25" w:history="1">
        <w:r w:rsidRPr="00287386">
          <w:rPr>
            <w:rStyle w:val="Lienhypertexte"/>
          </w:rPr>
          <w:t>LHE/21/16.COM/INF.10rev.</w:t>
        </w:r>
      </w:hyperlink>
      <w:r w:rsidRPr="00287386">
        <w:t>), le Comité a autorisé, à titre expérimental, l</w:t>
      </w:r>
      <w:r w:rsidR="00DC76D8" w:rsidRPr="00287386">
        <w:t>’</w:t>
      </w:r>
      <w:r w:rsidRPr="00287386">
        <w:t>utilisation de fonds au titre de la ligne budgétaire</w:t>
      </w:r>
      <w:r w:rsidR="00DC76D8" w:rsidRPr="00287386">
        <w:t> </w:t>
      </w:r>
      <w:r w:rsidRPr="00287386">
        <w:t>1 pour un montant ne dépassant pas 10</w:t>
      </w:r>
      <w:r w:rsidR="00DC76D8" w:rsidRPr="00287386">
        <w:t> </w:t>
      </w:r>
      <w:r w:rsidRPr="00287386">
        <w:t>% du budget approuvé de chaque projet d</w:t>
      </w:r>
      <w:r w:rsidR="00DC76D8" w:rsidRPr="00287386">
        <w:t>’</w:t>
      </w:r>
      <w:r w:rsidRPr="00287386">
        <w:t xml:space="preserve">assistance internationale approuvé, </w:t>
      </w:r>
      <w:r w:rsidRPr="00957E7B">
        <w:t>afin de financer la fourniture d</w:t>
      </w:r>
      <w:r w:rsidR="00DC76D8" w:rsidRPr="00957E7B">
        <w:t>’</w:t>
      </w:r>
      <w:r w:rsidRPr="00957E7B">
        <w:t>expertise, telle que décrite à l</w:t>
      </w:r>
      <w:r w:rsidR="00DC76D8" w:rsidRPr="00957E7B">
        <w:t>’</w:t>
      </w:r>
      <w:r w:rsidRPr="00957E7B">
        <w:t>article</w:t>
      </w:r>
      <w:r w:rsidR="00DC76D8" w:rsidRPr="00957E7B">
        <w:t> </w:t>
      </w:r>
      <w:r w:rsidRPr="00957E7B">
        <w:t>21 de la Convention, pour le suivi et l</w:t>
      </w:r>
      <w:r w:rsidR="00DC76D8" w:rsidRPr="00957E7B">
        <w:t>’</w:t>
      </w:r>
      <w:r w:rsidRPr="00957E7B">
        <w:t>évaluation des projets d</w:t>
      </w:r>
      <w:r w:rsidR="00DC76D8" w:rsidRPr="00957E7B">
        <w:t>’</w:t>
      </w:r>
      <w:r w:rsidRPr="00957E7B">
        <w:t>assistance internationale en cours et récemment achevés (Résolution</w:t>
      </w:r>
      <w:r w:rsidR="00DC76D8" w:rsidRPr="00957E7B">
        <w:t> </w:t>
      </w:r>
      <w:hyperlink r:id="rId26" w:history="1">
        <w:r w:rsidRPr="00957E7B">
          <w:rPr>
            <w:rStyle w:val="Lienhypertexte"/>
          </w:rPr>
          <w:t>9.</w:t>
        </w:r>
        <w:r w:rsidR="000F17F3" w:rsidRPr="00957E7B">
          <w:rPr>
            <w:rStyle w:val="Lienhypertexte"/>
          </w:rPr>
          <w:t> </w:t>
        </w:r>
        <w:r w:rsidRPr="00957E7B">
          <w:rPr>
            <w:rStyle w:val="Lienhypertexte"/>
          </w:rPr>
          <w:t>GA</w:t>
        </w:r>
        <w:r w:rsidR="00DC76D8" w:rsidRPr="00957E7B">
          <w:rPr>
            <w:rStyle w:val="Lienhypertexte"/>
          </w:rPr>
          <w:t> </w:t>
        </w:r>
        <w:r w:rsidRPr="00957E7B">
          <w:rPr>
            <w:rStyle w:val="Lienhypertexte"/>
          </w:rPr>
          <w:t>10,</w:t>
        </w:r>
      </w:hyperlink>
      <w:r w:rsidR="000F17F3" w:rsidRPr="00957E7B">
        <w:rPr>
          <w:rStyle w:val="Lienhypertexte"/>
        </w:rPr>
        <w:t xml:space="preserve"> </w:t>
      </w:r>
      <w:r w:rsidRPr="00957E7B">
        <w:t>Décision</w:t>
      </w:r>
      <w:r w:rsidR="00DC76D8" w:rsidRPr="00957E7B">
        <w:t> </w:t>
      </w:r>
      <w:hyperlink r:id="rId27" w:history="1">
        <w:r w:rsidRPr="00957E7B">
          <w:rPr>
            <w:rStyle w:val="Lienhypertexte"/>
          </w:rPr>
          <w:t>16.COM 13</w:t>
        </w:r>
      </w:hyperlink>
      <w:r w:rsidRPr="00957E7B">
        <w:t xml:space="preserve"> et Décision</w:t>
      </w:r>
      <w:r w:rsidR="00DC76D8" w:rsidRPr="00957E7B">
        <w:t> </w:t>
      </w:r>
      <w:hyperlink r:id="rId28" w:history="1">
        <w:r w:rsidRPr="00957E7B">
          <w:rPr>
            <w:rStyle w:val="Lienhypertexte"/>
          </w:rPr>
          <w:t>18.COM</w:t>
        </w:r>
        <w:r w:rsidR="00014860" w:rsidRPr="00957E7B">
          <w:rPr>
            <w:rStyle w:val="Lienhypertexte"/>
          </w:rPr>
          <w:t xml:space="preserve"> </w:t>
        </w:r>
        <w:r w:rsidRPr="00957E7B">
          <w:rPr>
            <w:rStyle w:val="Lienhypertexte"/>
          </w:rPr>
          <w:t>14</w:t>
        </w:r>
        <w:r w:rsidRPr="00957E7B">
          <w:rPr>
            <w:rStyle w:val="Lienhypertexte"/>
            <w:color w:val="auto"/>
            <w:u w:val="none"/>
          </w:rPr>
          <w:t>)</w:t>
        </w:r>
      </w:hyperlink>
      <w:r w:rsidRPr="00957E7B">
        <w:t xml:space="preserve">. En outre, </w:t>
      </w:r>
      <w:proofErr w:type="gramStart"/>
      <w:r w:rsidRPr="00957E7B">
        <w:t>suite aux</w:t>
      </w:r>
      <w:proofErr w:type="gramEnd"/>
      <w:r w:rsidRPr="00957E7B">
        <w:t xml:space="preserve"> étapes préparatoires entreprises depuis la dix-septième session du Comité avec l</w:t>
      </w:r>
      <w:r w:rsidR="00DC76D8" w:rsidRPr="00957E7B">
        <w:t>’</w:t>
      </w:r>
      <w:r w:rsidRPr="00957E7B">
        <w:t>établissement d</w:t>
      </w:r>
      <w:r w:rsidR="00DC76D8" w:rsidRPr="00957E7B">
        <w:t>’</w:t>
      </w:r>
      <w:r w:rsidRPr="00957E7B">
        <w:t>une liste de consultants ayant une expérience dans l</w:t>
      </w:r>
      <w:r w:rsidR="00DC76D8" w:rsidRPr="00957E7B">
        <w:t>’</w:t>
      </w:r>
      <w:r w:rsidRPr="00957E7B">
        <w:t xml:space="preserve">évaluation de projets dans le domaine de la culture (voir le document </w:t>
      </w:r>
      <w:hyperlink r:id="rId29" w:history="1">
        <w:r w:rsidRPr="00957E7B">
          <w:rPr>
            <w:rStyle w:val="Lienhypertexte"/>
          </w:rPr>
          <w:t>LHE/23/18.COM/10</w:t>
        </w:r>
      </w:hyperlink>
      <w:r w:rsidRPr="00957E7B">
        <w:t>), les activités pilotes de suivi et d</w:t>
      </w:r>
      <w:r w:rsidR="00DC76D8" w:rsidRPr="00957E7B">
        <w:t>’</w:t>
      </w:r>
      <w:r w:rsidRPr="00957E7B">
        <w:t>évaluation devraient être mises en œuvre au cours de l</w:t>
      </w:r>
      <w:r w:rsidR="00DC76D8" w:rsidRPr="00957E7B">
        <w:t>’</w:t>
      </w:r>
      <w:r w:rsidRPr="00957E7B">
        <w:t>exercice biennal actuel. Ces fonds supplémentaires de la ligne budgétaire</w:t>
      </w:r>
      <w:r w:rsidR="00DC76D8" w:rsidRPr="00957E7B">
        <w:t> </w:t>
      </w:r>
      <w:r w:rsidRPr="00957E7B">
        <w:t>1, séparés des subventions allouées aux bénéficiaires, seront utilisés, à titre expérimental, pour un montant n</w:t>
      </w:r>
      <w:r w:rsidR="00DC76D8" w:rsidRPr="00957E7B">
        <w:t>’</w:t>
      </w:r>
      <w:r w:rsidRPr="00957E7B">
        <w:t>excédant pas 10</w:t>
      </w:r>
      <w:r w:rsidR="00DC76D8" w:rsidRPr="00957E7B">
        <w:t> </w:t>
      </w:r>
      <w:r w:rsidRPr="00957E7B">
        <w:t>% du budget de chaque projet d</w:t>
      </w:r>
      <w:r w:rsidR="00DC76D8" w:rsidRPr="00957E7B">
        <w:t>’</w:t>
      </w:r>
      <w:r w:rsidRPr="00957E7B">
        <w:t>assistance internationale approuvé sélectionné afin de financer la fourniture de services d’expertise</w:t>
      </w:r>
      <w:r w:rsidR="00957E7B" w:rsidRPr="00E503E8">
        <w:t>.</w:t>
      </w:r>
    </w:p>
    <w:p w14:paraId="1D72249F" w14:textId="2061763F" w:rsidR="00475E86" w:rsidRPr="00681BEE" w:rsidRDefault="002D140B" w:rsidP="00027E63">
      <w:pPr>
        <w:pStyle w:val="COMPara"/>
        <w:numPr>
          <w:ilvl w:val="0"/>
          <w:numId w:val="23"/>
        </w:numPr>
        <w:ind w:left="567" w:hanging="567"/>
        <w:jc w:val="both"/>
      </w:pPr>
      <w:r>
        <w:t>Lors de sa septième session en juin 2018, l</w:t>
      </w:r>
      <w:r w:rsidR="00DC76D8">
        <w:t>’</w:t>
      </w:r>
      <w:r>
        <w:t>Assemblée générale a approuvé la création de trois postes extrabudgétaires à durée déterminée (un P3, un P2 et un G5) pour former une équipe dédiée à la mise en œuvre opérationnelle des mécanismes d</w:t>
      </w:r>
      <w:r w:rsidR="00DC76D8">
        <w:t>’</w:t>
      </w:r>
      <w:r>
        <w:t>assistance internationale (Résolution</w:t>
      </w:r>
      <w:r w:rsidR="00212B46">
        <w:t xml:space="preserve"> </w:t>
      </w:r>
      <w:hyperlink r:id="rId30" w:history="1">
        <w:r>
          <w:rPr>
            <w:rStyle w:val="Lienhypertexte"/>
          </w:rPr>
          <w:t>7.GA 8</w:t>
        </w:r>
      </w:hyperlink>
      <w:r>
        <w:t>). L</w:t>
      </w:r>
      <w:r w:rsidR="00DC76D8">
        <w:t>’</w:t>
      </w:r>
      <w:r>
        <w:t xml:space="preserve">équipe </w:t>
      </w:r>
      <w:r w:rsidR="00014860">
        <w:t>« </w:t>
      </w:r>
      <w:r>
        <w:t>de mise en œuvre et de suivi de la sauvegarde</w:t>
      </w:r>
      <w:r w:rsidR="00014860">
        <w:t> »</w:t>
      </w:r>
      <w:r>
        <w:t xml:space="preserve"> (SIM) a été créée en février 2020. Il est proposé d</w:t>
      </w:r>
      <w:r w:rsidR="00DC76D8">
        <w:t>’</w:t>
      </w:r>
      <w:r>
        <w:t>allouer environ 12,3</w:t>
      </w:r>
      <w:r w:rsidR="00DC76D8">
        <w:t> </w:t>
      </w:r>
      <w:r>
        <w:t>% des ressources du Fonds pour couvrir les coûts réels de ces trois postes</w:t>
      </w:r>
      <w:r w:rsidR="00B458A7">
        <w:t xml:space="preserve"> </w:t>
      </w:r>
      <w:r>
        <w:rPr>
          <w:b/>
        </w:rPr>
        <w:t>(ligne budgétaire</w:t>
      </w:r>
      <w:r w:rsidR="00DC76D8">
        <w:rPr>
          <w:b/>
        </w:rPr>
        <w:t> </w:t>
      </w:r>
      <w:r>
        <w:rPr>
          <w:b/>
        </w:rPr>
        <w:t>1.1</w:t>
      </w:r>
      <w:r>
        <w:t>), contre 10</w:t>
      </w:r>
      <w:r w:rsidR="00DC76D8">
        <w:t> </w:t>
      </w:r>
      <w:r>
        <w:t>% lors de l</w:t>
      </w:r>
      <w:r w:rsidR="00DC76D8">
        <w:t>’</w:t>
      </w:r>
      <w:r>
        <w:t>exercice</w:t>
      </w:r>
      <w:r w:rsidR="00DC76D8">
        <w:t> </w:t>
      </w:r>
      <w:r>
        <w:t>2022-2023.</w:t>
      </w:r>
    </w:p>
    <w:p w14:paraId="792CF67D" w14:textId="526AD054" w:rsidR="00CA352E" w:rsidRDefault="00CA352E" w:rsidP="00CA352E">
      <w:pPr>
        <w:pStyle w:val="COMPara"/>
        <w:numPr>
          <w:ilvl w:val="0"/>
          <w:numId w:val="23"/>
        </w:numPr>
        <w:ind w:left="567" w:hanging="567"/>
        <w:jc w:val="both"/>
      </w:pPr>
      <w:r>
        <w:t>En outre, il est proposé que 2,8</w:t>
      </w:r>
      <w:r w:rsidR="00DC76D8">
        <w:t> </w:t>
      </w:r>
      <w:r>
        <w:t>% des fonds soient budgétisés pour l</w:t>
      </w:r>
      <w:r w:rsidR="00DC76D8">
        <w:t>’</w:t>
      </w:r>
      <w:r>
        <w:t>octroi d</w:t>
      </w:r>
      <w:r w:rsidR="00DC76D8">
        <w:t>’</w:t>
      </w:r>
      <w:r>
        <w:t>une assistance préparatoire</w:t>
      </w:r>
      <w:r w:rsidR="00B458A7">
        <w:t xml:space="preserve"> </w:t>
      </w:r>
      <w:r>
        <w:rPr>
          <w:b/>
        </w:rPr>
        <w:t>(ligne budgétaire</w:t>
      </w:r>
      <w:r w:rsidR="00DC76D8">
        <w:rPr>
          <w:b/>
        </w:rPr>
        <w:t> </w:t>
      </w:r>
      <w:r>
        <w:rPr>
          <w:b/>
        </w:rPr>
        <w:t>2)</w:t>
      </w:r>
      <w:r>
        <w:t>. Cette légère augmentation par rapport à l</w:t>
      </w:r>
      <w:r w:rsidR="00DC76D8">
        <w:t>’</w:t>
      </w:r>
      <w:r>
        <w:t>exercice actuel (2,6</w:t>
      </w:r>
      <w:r w:rsidR="00DC76D8">
        <w:t> </w:t>
      </w:r>
      <w:r>
        <w:t xml:space="preserve">%) est proposée à la lumière des coûts supplémentaires potentiels qui pourraient résulter de </w:t>
      </w:r>
      <w:r w:rsidR="00014860">
        <w:t xml:space="preserve">l’élargissement </w:t>
      </w:r>
      <w:r>
        <w:t>du mécanisme d</w:t>
      </w:r>
      <w:r w:rsidR="00DC76D8">
        <w:t>’</w:t>
      </w:r>
      <w:r>
        <w:t>assistance préparatoire aux États parties qui n</w:t>
      </w:r>
      <w:r w:rsidR="00DC76D8">
        <w:t>’</w:t>
      </w:r>
      <w:r>
        <w:t>ont pas d</w:t>
      </w:r>
      <w:r w:rsidR="00DC76D8">
        <w:t>’</w:t>
      </w:r>
      <w:r>
        <w:t>éléments nationaux inscrits sur la Liste représentative et qui souhaitent bénéficier d</w:t>
      </w:r>
      <w:r w:rsidR="00DC76D8">
        <w:t>’</w:t>
      </w:r>
      <w:r>
        <w:t>une assistance internationale pour la préparation d</w:t>
      </w:r>
      <w:r w:rsidR="00DC76D8">
        <w:t>’</w:t>
      </w:r>
      <w:r>
        <w:t xml:space="preserve">un dossier de candidature (voir la </w:t>
      </w:r>
      <w:r w:rsidR="00212B46">
        <w:t>D</w:t>
      </w:r>
      <w:r>
        <w:t>écision</w:t>
      </w:r>
      <w:r w:rsidR="00DC76D8">
        <w:t> </w:t>
      </w:r>
      <w:hyperlink r:id="rId31" w:history="1">
        <w:r>
          <w:rPr>
            <w:rStyle w:val="Lienhypertexte"/>
          </w:rPr>
          <w:t>18.COM 10</w:t>
        </w:r>
      </w:hyperlink>
      <w:r>
        <w:t>). Si l</w:t>
      </w:r>
      <w:r w:rsidR="00DC76D8">
        <w:t>’</w:t>
      </w:r>
      <w:r>
        <w:t>Assemblée générale approuve «</w:t>
      </w:r>
      <w:r w:rsidR="00DC76D8">
        <w:t> </w:t>
      </w:r>
      <w:r>
        <w:t xml:space="preserve">les révisions proposées des </w:t>
      </w:r>
      <w:r w:rsidR="00014860">
        <w:lastRenderedPageBreak/>
        <w:t>D</w:t>
      </w:r>
      <w:r>
        <w:t>irectives opérationnelles pour la mise en œuvre de la Convention</w:t>
      </w:r>
      <w:r w:rsidR="00DC76D8">
        <w:t> </w:t>
      </w:r>
      <w:r>
        <w:t>» au titre du point</w:t>
      </w:r>
      <w:r w:rsidR="00DC76D8">
        <w:t> </w:t>
      </w:r>
      <w:r>
        <w:t>7, l</w:t>
      </w:r>
      <w:r w:rsidR="00DC76D8">
        <w:t>’</w:t>
      </w:r>
      <w:r>
        <w:t>augmentation proposée de l</w:t>
      </w:r>
      <w:r w:rsidR="00DC76D8">
        <w:t>’</w:t>
      </w:r>
      <w:r>
        <w:t>allocation permettrait de fournir une telle assistance pour un nombre initial de demandes que le Secrétariat pourrait recevoir au cours de l</w:t>
      </w:r>
      <w:r w:rsidR="00DC76D8">
        <w:t>’</w:t>
      </w:r>
      <w:r>
        <w:t>exercice biennal</w:t>
      </w:r>
      <w:r w:rsidR="00DC76D8">
        <w:t> </w:t>
      </w:r>
      <w:r>
        <w:t>2024-2025. Outre l</w:t>
      </w:r>
      <w:r w:rsidR="00DC76D8">
        <w:t>’</w:t>
      </w:r>
      <w:r>
        <w:t>assistance préparatoire actuelle pour les dossiers de nomination</w:t>
      </w:r>
      <w:r w:rsidR="008A1DB8">
        <w:rPr>
          <w:rStyle w:val="Appelnotedebasdep"/>
        </w:rPr>
        <w:footnoteReference w:id="3"/>
      </w:r>
      <w:r>
        <w:t xml:space="preserve"> et la proposition faite ci-dessus, cette ligne budgétaire couvre également les coûts liés à la fourniture d</w:t>
      </w:r>
      <w:r w:rsidR="00DC76D8">
        <w:t>’</w:t>
      </w:r>
      <w:r>
        <w:t>une assistance technique aux États parties pour la préparation des demandes d</w:t>
      </w:r>
      <w:r w:rsidR="00DC76D8">
        <w:t>’</w:t>
      </w:r>
      <w:r>
        <w:t>assistance internationale.</w:t>
      </w:r>
    </w:p>
    <w:p w14:paraId="7E71A812" w14:textId="31950985" w:rsidR="00CA352E" w:rsidRPr="00CA352E" w:rsidRDefault="00CA352E" w:rsidP="00CA352E">
      <w:pPr>
        <w:pStyle w:val="COMPara"/>
        <w:numPr>
          <w:ilvl w:val="0"/>
          <w:numId w:val="0"/>
        </w:numPr>
        <w:ind w:left="567"/>
        <w:jc w:val="both"/>
        <w:rPr>
          <w:b/>
          <w:bCs/>
        </w:rPr>
      </w:pPr>
      <w:r>
        <w:rPr>
          <w:b/>
        </w:rPr>
        <w:t>Autres fonctions du Comité</w:t>
      </w:r>
    </w:p>
    <w:p w14:paraId="4A7BF624" w14:textId="1A8CC989" w:rsidR="005045C4" w:rsidRPr="007B13D8" w:rsidRDefault="005045C4" w:rsidP="005045C4">
      <w:pPr>
        <w:pStyle w:val="COMPara"/>
        <w:numPr>
          <w:ilvl w:val="0"/>
          <w:numId w:val="23"/>
        </w:numPr>
        <w:ind w:left="567" w:hanging="567"/>
        <w:jc w:val="both"/>
      </w:pPr>
      <w:r>
        <w:t xml:space="preserve">La </w:t>
      </w:r>
      <w:r>
        <w:rPr>
          <w:b/>
        </w:rPr>
        <w:t>ligne budgétaire</w:t>
      </w:r>
      <w:r w:rsidR="00DC76D8">
        <w:rPr>
          <w:b/>
        </w:rPr>
        <w:t> </w:t>
      </w:r>
      <w:r>
        <w:rPr>
          <w:b/>
        </w:rPr>
        <w:t>3</w:t>
      </w:r>
      <w:r>
        <w:t xml:space="preserve"> («</w:t>
      </w:r>
      <w:r w:rsidR="00DC76D8">
        <w:t> </w:t>
      </w:r>
      <w:r>
        <w:t>Autres fonctions du comité</w:t>
      </w:r>
      <w:r w:rsidR="00DC76D8">
        <w:t> </w:t>
      </w:r>
      <w:r>
        <w:t>») sera maintenue à 20</w:t>
      </w:r>
      <w:r w:rsidR="00DC76D8">
        <w:t> </w:t>
      </w:r>
      <w:r>
        <w:t>% afin de renforcer les travaux entamés au cours de l</w:t>
      </w:r>
      <w:r w:rsidR="00DC76D8">
        <w:t>’</w:t>
      </w:r>
      <w:r>
        <w:t>exercice biennal actuel. Ces fonctions sont énumérées à l</w:t>
      </w:r>
      <w:r w:rsidR="00DC76D8">
        <w:t>’</w:t>
      </w:r>
      <w:r>
        <w:t>article</w:t>
      </w:r>
      <w:r w:rsidR="00DC76D8">
        <w:t> </w:t>
      </w:r>
      <w:r>
        <w:t>7 de la Convention. Le Secrétariat utilise ces fonds afin d’aider le Comité à remplir ces fonctions, comme l</w:t>
      </w:r>
      <w:r w:rsidR="00DC76D8">
        <w:t>’</w:t>
      </w:r>
      <w:r>
        <w:t>exige l</w:t>
      </w:r>
      <w:r w:rsidR="00DC76D8">
        <w:t>’</w:t>
      </w:r>
      <w:r>
        <w:t>article</w:t>
      </w:r>
      <w:r w:rsidR="00DC76D8">
        <w:t> </w:t>
      </w:r>
      <w:r>
        <w:t>10 de la Convention. En d</w:t>
      </w:r>
      <w:r w:rsidR="00DC76D8">
        <w:t>’</w:t>
      </w:r>
      <w:r>
        <w:t>autres termes, ces fonds seront principalement utilisés pour des actions en amont et transversales visant à promouvoir les objectifs de la Convention, ainsi qu’à encourager et suivre sa mise en œuvre (article</w:t>
      </w:r>
      <w:r w:rsidR="00DC76D8">
        <w:t> </w:t>
      </w:r>
      <w:r>
        <w:t>7[a]), et fournir des orientations sur les mesures de sauvegarde du patrimoine culturel immatériel (article</w:t>
      </w:r>
      <w:r w:rsidR="00DC76D8">
        <w:t> </w:t>
      </w:r>
      <w:r>
        <w:t>7[b]). Il est important de noter que si l</w:t>
      </w:r>
      <w:r w:rsidR="00DC76D8">
        <w:t>’</w:t>
      </w:r>
      <w:r>
        <w:t>allocation en pourcentage reste inchangée, le montant nominal de la ligne budgétaire</w:t>
      </w:r>
      <w:r w:rsidR="00DC76D8">
        <w:t> </w:t>
      </w:r>
      <w:r>
        <w:t xml:space="preserve">3 a diminué en raison de la réduction générale du montant disponible pour 2024-2025. </w:t>
      </w:r>
    </w:p>
    <w:p w14:paraId="71E98F16" w14:textId="088A0AA9" w:rsidR="005045C4" w:rsidRPr="005045C4" w:rsidRDefault="005045C4" w:rsidP="005045C4">
      <w:pPr>
        <w:pStyle w:val="COMPara"/>
        <w:numPr>
          <w:ilvl w:val="0"/>
          <w:numId w:val="23"/>
        </w:numPr>
        <w:ind w:left="567" w:hanging="567"/>
        <w:jc w:val="both"/>
      </w:pPr>
      <w:r>
        <w:t xml:space="preserve">Conformément à la </w:t>
      </w:r>
      <w:r w:rsidR="00212B46">
        <w:t>D</w:t>
      </w:r>
      <w:r>
        <w:t>écision</w:t>
      </w:r>
      <w:r w:rsidR="00DC76D8">
        <w:t> </w:t>
      </w:r>
      <w:hyperlink r:id="rId32" w:history="1">
        <w:r>
          <w:rPr>
            <w:rStyle w:val="Lienhypertexte"/>
          </w:rPr>
          <w:t>14.COM 7</w:t>
        </w:r>
      </w:hyperlink>
      <w:r>
        <w:t>, la proposition de plan présentée au Comité compren</w:t>
      </w:r>
      <w:r w:rsidR="00014860">
        <w:t xml:space="preserve">ait </w:t>
      </w:r>
      <w:r>
        <w:t>une ventilation en pourcentage de la ligne budgétaire</w:t>
      </w:r>
      <w:r w:rsidR="00DC76D8">
        <w:t> </w:t>
      </w:r>
      <w:r>
        <w:t>3 en termes de résultats escomptés («</w:t>
      </w:r>
      <w:r w:rsidR="00DC76D8">
        <w:t> </w:t>
      </w:r>
      <w:r>
        <w:t>RE</w:t>
      </w:r>
      <w:r w:rsidR="00DC76D8">
        <w:t> </w:t>
      </w:r>
      <w:r>
        <w:t>») conformément aux produits approuvés dans le C/5, en vue de la soumettre à l</w:t>
      </w:r>
      <w:r w:rsidR="00DC76D8">
        <w:t>’</w:t>
      </w:r>
      <w:r>
        <w:t>approbation de la prochaine session de l</w:t>
      </w:r>
      <w:r w:rsidR="00DC76D8">
        <w:t>’</w:t>
      </w:r>
      <w:r>
        <w:t>Assemblée générale. Le Plan propose de diviser la ligne budgétaire</w:t>
      </w:r>
      <w:r w:rsidR="00DC76D8">
        <w:t> </w:t>
      </w:r>
      <w:r>
        <w:t xml:space="preserve">3 en deux RE - au lieu de quatre RE dans le biennium précédent - pour mieux aligner les activités à mener par le Secrétariat avec les deux indicateurs de performance définis dans le </w:t>
      </w:r>
      <w:hyperlink r:id="rId33" w:history="1">
        <w:r>
          <w:rPr>
            <w:rStyle w:val="Lienhypertexte"/>
          </w:rPr>
          <w:t>42 C/5</w:t>
        </w:r>
      </w:hyperlink>
      <w:r>
        <w:t xml:space="preserve"> approuvé (Grand Programme IV Culture, </w:t>
      </w:r>
      <w:r w:rsidR="00333F6C">
        <w:t>Effet </w:t>
      </w:r>
      <w:r>
        <w:t xml:space="preserve">5, Produit 5.CLT4 </w:t>
      </w:r>
      <w:r w:rsidRPr="00333F6C">
        <w:t>«</w:t>
      </w:r>
      <w:r w:rsidR="00DC76D8" w:rsidRPr="00333F6C">
        <w:t> </w:t>
      </w:r>
      <w:r w:rsidRPr="00333F6C">
        <w:t xml:space="preserve">Renforcement des capacités des </w:t>
      </w:r>
      <w:r w:rsidR="00DC76D8" w:rsidRPr="00333F6C">
        <w:t>É</w:t>
      </w:r>
      <w:r w:rsidRPr="00333F6C">
        <w:t xml:space="preserve">tats membres et des communautés </w:t>
      </w:r>
      <w:r w:rsidR="00333F6C" w:rsidRPr="00E503E8">
        <w:t xml:space="preserve">en matière d’identification, de </w:t>
      </w:r>
      <w:r w:rsidRPr="00333F6C">
        <w:t>sauvegarde</w:t>
      </w:r>
      <w:r w:rsidR="00333F6C" w:rsidRPr="00E503E8">
        <w:t xml:space="preserve"> et de promotion du </w:t>
      </w:r>
      <w:r w:rsidRPr="00333F6C">
        <w:t>patrimoine vivant</w:t>
      </w:r>
      <w:r w:rsidR="00DC76D8" w:rsidRPr="00333F6C">
        <w:t> </w:t>
      </w:r>
      <w:r w:rsidRPr="00333F6C">
        <w:t>»).</w:t>
      </w:r>
      <w:r>
        <w:t xml:space="preserve"> La répartition de l</w:t>
      </w:r>
      <w:r w:rsidR="00DC76D8">
        <w:t>’</w:t>
      </w:r>
      <w:r>
        <w:t>allocation budgétaire entre les deux RE proposées est basée sur la répartition approuvée pour l</w:t>
      </w:r>
      <w:r w:rsidR="00DC76D8">
        <w:t>’</w:t>
      </w:r>
      <w:r>
        <w:t>exercice précédent, l</w:t>
      </w:r>
      <w:r w:rsidR="00DC76D8">
        <w:t>’</w:t>
      </w:r>
      <w:r>
        <w:t>allocation du nouveau RE 1 (52</w:t>
      </w:r>
      <w:r w:rsidR="00DC76D8">
        <w:t> </w:t>
      </w:r>
      <w:r>
        <w:t>%) représentant une combinaison des anciens RE 2 et 3 (respectivement 33</w:t>
      </w:r>
      <w:r w:rsidR="00DC76D8">
        <w:t> </w:t>
      </w:r>
      <w:r>
        <w:t>% et 19</w:t>
      </w:r>
      <w:r w:rsidR="00DC76D8">
        <w:t> </w:t>
      </w:r>
      <w:r>
        <w:t>%), tandis que l</w:t>
      </w:r>
      <w:r w:rsidR="00DC76D8">
        <w:t>’</w:t>
      </w:r>
      <w:r>
        <w:t>allocation du nouveau RE 2 (48</w:t>
      </w:r>
      <w:r w:rsidR="00DC76D8">
        <w:t> </w:t>
      </w:r>
      <w:r>
        <w:t>%) est équivalente à la combinaison des anciens RE 1 et 4 (respectivement 25</w:t>
      </w:r>
      <w:r w:rsidR="00DC76D8">
        <w:t> </w:t>
      </w:r>
      <w:r>
        <w:t>% et 23</w:t>
      </w:r>
      <w:r w:rsidR="00DC76D8">
        <w:t> </w:t>
      </w:r>
      <w:r>
        <w:t>%) dans l</w:t>
      </w:r>
      <w:r w:rsidR="00DC76D8">
        <w:t>’</w:t>
      </w:r>
      <w:r>
        <w:t>exercice précédent</w:t>
      </w:r>
      <w:r w:rsidR="00DC76D8">
        <w:t> </w:t>
      </w:r>
      <w:r>
        <w:t>:</w:t>
      </w:r>
    </w:p>
    <w:tbl>
      <w:tblPr>
        <w:tblpPr w:leftFromText="141" w:rightFromText="141" w:vertAnchor="text" w:horzAnchor="margin" w:tblpY="74"/>
        <w:tblW w:w="9638" w:type="dxa"/>
        <w:tblLayout w:type="fixed"/>
        <w:tblLook w:val="04A0" w:firstRow="1" w:lastRow="0" w:firstColumn="1" w:lastColumn="0" w:noHBand="0" w:noVBand="1"/>
      </w:tblPr>
      <w:tblGrid>
        <w:gridCol w:w="3969"/>
        <w:gridCol w:w="850"/>
        <w:gridCol w:w="3969"/>
        <w:gridCol w:w="850"/>
      </w:tblGrid>
      <w:tr w:rsidR="00573329" w:rsidRPr="003118BE" w14:paraId="404E8784" w14:textId="77777777" w:rsidTr="00C41F17">
        <w:trPr>
          <w:cantSplit/>
          <w:trHeight w:val="562"/>
        </w:trPr>
        <w:tc>
          <w:tcPr>
            <w:tcW w:w="3969" w:type="dxa"/>
            <w:shd w:val="clear" w:color="auto" w:fill="BFBFBF"/>
          </w:tcPr>
          <w:p w14:paraId="614B66CF" w14:textId="77777777" w:rsidR="00573329" w:rsidRPr="003118BE" w:rsidRDefault="00573329" w:rsidP="00C41F17">
            <w:pPr>
              <w:keepNext/>
              <w:keepLines/>
              <w:spacing w:before="60" w:after="60"/>
              <w:ind w:left="567" w:hanging="567"/>
              <w:rPr>
                <w:rFonts w:ascii="Arial" w:hAnsi="Arial" w:cs="Arial"/>
                <w:b/>
                <w:sz w:val="20"/>
                <w:szCs w:val="20"/>
              </w:rPr>
            </w:pPr>
            <w:r>
              <w:rPr>
                <w:rFonts w:ascii="Arial" w:hAnsi="Arial"/>
                <w:b/>
                <w:sz w:val="20"/>
              </w:rPr>
              <w:t>Résultat escompté</w:t>
            </w:r>
          </w:p>
        </w:tc>
        <w:tc>
          <w:tcPr>
            <w:tcW w:w="850" w:type="dxa"/>
            <w:tcBorders>
              <w:right w:val="single" w:sz="4" w:space="0" w:color="auto"/>
            </w:tcBorders>
            <w:shd w:val="clear" w:color="auto" w:fill="BFBFBF"/>
            <w:vAlign w:val="center"/>
          </w:tcPr>
          <w:p w14:paraId="24B3FA74" w14:textId="043B821F" w:rsidR="00573329" w:rsidRPr="003118BE" w:rsidRDefault="00573329" w:rsidP="00C41F17">
            <w:pPr>
              <w:keepNext/>
              <w:spacing w:before="60" w:after="60"/>
              <w:ind w:left="567" w:hanging="567"/>
              <w:jc w:val="center"/>
              <w:rPr>
                <w:rFonts w:ascii="Arial" w:hAnsi="Arial" w:cs="Arial"/>
                <w:b/>
                <w:sz w:val="20"/>
                <w:szCs w:val="20"/>
              </w:rPr>
            </w:pPr>
            <w:r>
              <w:rPr>
                <w:rFonts w:ascii="Arial" w:hAnsi="Arial"/>
                <w:b/>
                <w:sz w:val="20"/>
              </w:rPr>
              <w:t>2022–</w:t>
            </w:r>
          </w:p>
          <w:p w14:paraId="279BF328" w14:textId="77777777" w:rsidR="00573329" w:rsidRPr="003118BE" w:rsidRDefault="00573329" w:rsidP="00C41F17">
            <w:pPr>
              <w:keepNext/>
              <w:spacing w:before="60" w:after="60"/>
              <w:ind w:left="567" w:hanging="567"/>
              <w:jc w:val="center"/>
              <w:rPr>
                <w:rFonts w:ascii="Arial" w:hAnsi="Arial" w:cs="Arial"/>
                <w:b/>
                <w:sz w:val="20"/>
                <w:szCs w:val="20"/>
              </w:rPr>
            </w:pPr>
            <w:r>
              <w:rPr>
                <w:rFonts w:ascii="Arial" w:hAnsi="Arial"/>
                <w:b/>
                <w:sz w:val="20"/>
              </w:rPr>
              <w:t>2023</w:t>
            </w:r>
          </w:p>
        </w:tc>
        <w:tc>
          <w:tcPr>
            <w:tcW w:w="3969" w:type="dxa"/>
            <w:tcBorders>
              <w:left w:val="single" w:sz="4" w:space="0" w:color="auto"/>
            </w:tcBorders>
            <w:shd w:val="clear" w:color="auto" w:fill="BFBFBF"/>
          </w:tcPr>
          <w:p w14:paraId="24CC1628" w14:textId="77777777" w:rsidR="00573329" w:rsidRPr="003118BE" w:rsidRDefault="00573329" w:rsidP="00C41F17">
            <w:pPr>
              <w:keepNext/>
              <w:spacing w:before="60" w:after="60"/>
              <w:ind w:left="567" w:hanging="567"/>
              <w:rPr>
                <w:rFonts w:ascii="Arial" w:hAnsi="Arial" w:cs="Arial"/>
                <w:b/>
                <w:sz w:val="20"/>
                <w:szCs w:val="20"/>
              </w:rPr>
            </w:pPr>
            <w:r>
              <w:rPr>
                <w:rFonts w:ascii="Arial" w:hAnsi="Arial"/>
                <w:b/>
                <w:sz w:val="20"/>
              </w:rPr>
              <w:t>Résultat escompté</w:t>
            </w:r>
          </w:p>
        </w:tc>
        <w:tc>
          <w:tcPr>
            <w:tcW w:w="850" w:type="dxa"/>
            <w:shd w:val="clear" w:color="auto" w:fill="BFBFBF"/>
            <w:vAlign w:val="center"/>
          </w:tcPr>
          <w:p w14:paraId="447AC117" w14:textId="40A40C14" w:rsidR="00573329" w:rsidRPr="003118BE" w:rsidRDefault="00573329" w:rsidP="00C41F17">
            <w:pPr>
              <w:keepNext/>
              <w:spacing w:before="60" w:after="60"/>
              <w:ind w:left="567" w:hanging="567"/>
              <w:jc w:val="center"/>
              <w:rPr>
                <w:rFonts w:ascii="Arial" w:hAnsi="Arial" w:cs="Arial"/>
                <w:b/>
                <w:sz w:val="20"/>
                <w:szCs w:val="20"/>
              </w:rPr>
            </w:pPr>
            <w:r>
              <w:rPr>
                <w:rFonts w:ascii="Arial" w:hAnsi="Arial"/>
                <w:b/>
                <w:sz w:val="20"/>
              </w:rPr>
              <w:t>2024–</w:t>
            </w:r>
          </w:p>
          <w:p w14:paraId="344E70EA" w14:textId="77777777" w:rsidR="00573329" w:rsidRPr="003118BE" w:rsidRDefault="00573329" w:rsidP="00C41F17">
            <w:pPr>
              <w:keepNext/>
              <w:spacing w:before="60" w:after="60"/>
              <w:ind w:left="567" w:hanging="567"/>
              <w:jc w:val="center"/>
              <w:rPr>
                <w:rFonts w:ascii="Arial" w:hAnsi="Arial" w:cs="Arial"/>
                <w:b/>
                <w:sz w:val="20"/>
                <w:szCs w:val="20"/>
              </w:rPr>
            </w:pPr>
            <w:r>
              <w:rPr>
                <w:rFonts w:ascii="Arial" w:hAnsi="Arial"/>
                <w:b/>
                <w:sz w:val="20"/>
              </w:rPr>
              <w:t>2025</w:t>
            </w:r>
          </w:p>
        </w:tc>
      </w:tr>
      <w:tr w:rsidR="00573329" w:rsidRPr="003118BE" w14:paraId="014CFDDC" w14:textId="77777777" w:rsidTr="00C41F17">
        <w:trPr>
          <w:cantSplit/>
          <w:trHeight w:val="691"/>
        </w:trPr>
        <w:tc>
          <w:tcPr>
            <w:tcW w:w="3969" w:type="dxa"/>
            <w:shd w:val="clear" w:color="auto" w:fill="FDE9D9" w:themeFill="accent6" w:themeFillTint="33"/>
          </w:tcPr>
          <w:p w14:paraId="1FB1A9DF" w14:textId="48897EA5" w:rsidR="00573329" w:rsidRPr="003118BE" w:rsidRDefault="00573329" w:rsidP="00C41F17">
            <w:pPr>
              <w:keepNext/>
              <w:spacing w:before="60" w:after="60"/>
              <w:ind w:left="567" w:hanging="567"/>
              <w:rPr>
                <w:rFonts w:ascii="Arial" w:hAnsi="Arial" w:cs="Arial"/>
                <w:sz w:val="20"/>
                <w:szCs w:val="20"/>
              </w:rPr>
            </w:pPr>
            <w:r>
              <w:rPr>
                <w:rFonts w:ascii="Arial" w:hAnsi="Arial"/>
                <w:sz w:val="20"/>
              </w:rPr>
              <w:t xml:space="preserve">RE 1 : </w:t>
            </w:r>
            <w:bookmarkStart w:id="6" w:name="_Hlk166512230"/>
            <w:r w:rsidR="00014860">
              <w:rPr>
                <w:rFonts w:ascii="Arial" w:hAnsi="Arial"/>
                <w:sz w:val="20"/>
              </w:rPr>
              <w:t>B</w:t>
            </w:r>
            <w:r>
              <w:rPr>
                <w:rFonts w:ascii="Arial" w:hAnsi="Arial"/>
                <w:sz w:val="20"/>
              </w:rPr>
              <w:t>onne gouvernance de la Convention de 2003 facilitée par</w:t>
            </w:r>
            <w:r w:rsidR="00014860">
              <w:rPr>
                <w:rFonts w:ascii="Arial" w:hAnsi="Arial"/>
                <w:sz w:val="20"/>
              </w:rPr>
              <w:t xml:space="preserve"> l’amélioration</w:t>
            </w:r>
            <w:r w:rsidR="00D2006D">
              <w:rPr>
                <w:rFonts w:ascii="Arial" w:hAnsi="Arial"/>
                <w:sz w:val="20"/>
              </w:rPr>
              <w:t xml:space="preserve"> du suivi et </w:t>
            </w:r>
            <w:r>
              <w:rPr>
                <w:rFonts w:ascii="Arial" w:hAnsi="Arial"/>
                <w:sz w:val="20"/>
              </w:rPr>
              <w:t xml:space="preserve">des services de gestion des connaissances </w:t>
            </w:r>
            <w:bookmarkEnd w:id="6"/>
          </w:p>
        </w:tc>
        <w:tc>
          <w:tcPr>
            <w:tcW w:w="850" w:type="dxa"/>
            <w:tcBorders>
              <w:right w:val="single" w:sz="4" w:space="0" w:color="auto"/>
            </w:tcBorders>
            <w:shd w:val="clear" w:color="auto" w:fill="FDE9D9" w:themeFill="accent6" w:themeFillTint="33"/>
          </w:tcPr>
          <w:p w14:paraId="7DCE9E75" w14:textId="64F221FE" w:rsidR="00573329" w:rsidRPr="003118BE" w:rsidRDefault="00573329" w:rsidP="00C41F17">
            <w:pPr>
              <w:keepNext/>
              <w:spacing w:before="60" w:after="60"/>
              <w:ind w:left="567" w:hanging="567"/>
              <w:jc w:val="center"/>
              <w:rPr>
                <w:rFonts w:ascii="Arial" w:hAnsi="Arial" w:cs="Arial"/>
                <w:b/>
                <w:bCs/>
                <w:sz w:val="20"/>
                <w:szCs w:val="20"/>
              </w:rPr>
            </w:pPr>
            <w:r>
              <w:rPr>
                <w:rFonts w:ascii="Arial" w:hAnsi="Arial"/>
                <w:b/>
                <w:sz w:val="20"/>
              </w:rPr>
              <w:t>25</w:t>
            </w:r>
            <w:r w:rsidR="00DC76D8">
              <w:rPr>
                <w:rFonts w:ascii="Arial" w:hAnsi="Arial"/>
                <w:b/>
                <w:sz w:val="20"/>
              </w:rPr>
              <w:t> </w:t>
            </w:r>
            <w:r>
              <w:rPr>
                <w:rFonts w:ascii="Arial" w:hAnsi="Arial"/>
                <w:b/>
                <w:sz w:val="20"/>
              </w:rPr>
              <w:t>%</w:t>
            </w:r>
          </w:p>
        </w:tc>
        <w:tc>
          <w:tcPr>
            <w:tcW w:w="3969" w:type="dxa"/>
            <w:vMerge w:val="restart"/>
            <w:tcBorders>
              <w:left w:val="single" w:sz="4" w:space="0" w:color="auto"/>
            </w:tcBorders>
            <w:shd w:val="clear" w:color="auto" w:fill="DBE5F1" w:themeFill="accent1" w:themeFillTint="33"/>
          </w:tcPr>
          <w:p w14:paraId="7AA1F585" w14:textId="7AB3DF48" w:rsidR="00573329" w:rsidRPr="003118BE" w:rsidRDefault="00573329" w:rsidP="00C41F17">
            <w:pPr>
              <w:keepNext/>
              <w:spacing w:before="60" w:after="60"/>
              <w:ind w:left="567" w:hanging="567"/>
              <w:rPr>
                <w:rFonts w:ascii="Arial" w:hAnsi="Arial" w:cs="Arial"/>
                <w:sz w:val="20"/>
                <w:szCs w:val="20"/>
              </w:rPr>
            </w:pPr>
            <w:r>
              <w:rPr>
                <w:rFonts w:ascii="Arial" w:hAnsi="Arial"/>
                <w:sz w:val="20"/>
              </w:rPr>
              <w:t>R</w:t>
            </w:r>
            <w:r w:rsidR="00385610">
              <w:rPr>
                <w:rFonts w:ascii="Arial" w:hAnsi="Arial"/>
                <w:sz w:val="20"/>
              </w:rPr>
              <w:t>E</w:t>
            </w:r>
            <w:r w:rsidR="00DC76D8">
              <w:rPr>
                <w:rFonts w:ascii="Arial" w:hAnsi="Arial"/>
                <w:sz w:val="20"/>
              </w:rPr>
              <w:t> </w:t>
            </w:r>
            <w:r>
              <w:rPr>
                <w:rFonts w:ascii="Arial" w:hAnsi="Arial"/>
                <w:sz w:val="20"/>
              </w:rPr>
              <w:t xml:space="preserve">1 : </w:t>
            </w:r>
            <w:r w:rsidR="00D2006D">
              <w:rPr>
                <w:rFonts w:ascii="Arial" w:hAnsi="Arial"/>
                <w:sz w:val="20"/>
              </w:rPr>
              <w:t>M</w:t>
            </w:r>
            <w:r>
              <w:rPr>
                <w:rFonts w:ascii="Arial" w:hAnsi="Arial"/>
                <w:sz w:val="20"/>
              </w:rPr>
              <w:t xml:space="preserve">ise en œuvre de la Convention encouragée </w:t>
            </w:r>
            <w:r w:rsidR="00D2006D">
              <w:rPr>
                <w:rFonts w:ascii="Arial" w:hAnsi="Arial"/>
                <w:sz w:val="20"/>
              </w:rPr>
              <w:t xml:space="preserve">grâce à un </w:t>
            </w:r>
            <w:r>
              <w:rPr>
                <w:rFonts w:ascii="Arial" w:hAnsi="Arial"/>
                <w:sz w:val="20"/>
              </w:rPr>
              <w:t xml:space="preserve">programme </w:t>
            </w:r>
            <w:r w:rsidR="00D2006D">
              <w:rPr>
                <w:rFonts w:ascii="Arial" w:hAnsi="Arial"/>
                <w:sz w:val="20"/>
              </w:rPr>
              <w:t xml:space="preserve">renforcé </w:t>
            </w:r>
            <w:r>
              <w:rPr>
                <w:rFonts w:ascii="Arial" w:hAnsi="Arial"/>
                <w:sz w:val="20"/>
              </w:rPr>
              <w:t xml:space="preserve">de renforcement des capacités et </w:t>
            </w:r>
            <w:r w:rsidR="00D2006D">
              <w:rPr>
                <w:rFonts w:ascii="Arial" w:hAnsi="Arial"/>
                <w:sz w:val="20"/>
              </w:rPr>
              <w:t xml:space="preserve">à </w:t>
            </w:r>
            <w:r>
              <w:rPr>
                <w:rFonts w:ascii="Arial" w:hAnsi="Arial"/>
                <w:sz w:val="20"/>
              </w:rPr>
              <w:t>l</w:t>
            </w:r>
            <w:r w:rsidR="00DC76D8">
              <w:rPr>
                <w:rFonts w:ascii="Arial" w:hAnsi="Arial"/>
                <w:sz w:val="20"/>
              </w:rPr>
              <w:t>’</w:t>
            </w:r>
            <w:r>
              <w:rPr>
                <w:rFonts w:ascii="Arial" w:hAnsi="Arial"/>
                <w:sz w:val="20"/>
              </w:rPr>
              <w:t>intégration du patrimoine culturel immatériel dans les plans, politiques et programmes de développement</w:t>
            </w:r>
            <w:r w:rsidR="00D80E57">
              <w:rPr>
                <w:rStyle w:val="Appelnotedebasdep"/>
                <w:rFonts w:ascii="Arial" w:hAnsi="Arial"/>
                <w:sz w:val="20"/>
              </w:rPr>
              <w:footnoteReference w:id="4"/>
            </w:r>
          </w:p>
        </w:tc>
        <w:tc>
          <w:tcPr>
            <w:tcW w:w="850" w:type="dxa"/>
            <w:vMerge w:val="restart"/>
            <w:shd w:val="clear" w:color="auto" w:fill="DBE5F1" w:themeFill="accent1" w:themeFillTint="33"/>
          </w:tcPr>
          <w:p w14:paraId="3254FBCF" w14:textId="380EF174" w:rsidR="00573329" w:rsidRPr="003118BE" w:rsidRDefault="00573329" w:rsidP="00C41F17">
            <w:pPr>
              <w:keepNext/>
              <w:spacing w:before="60" w:after="60"/>
              <w:ind w:left="567" w:hanging="567"/>
              <w:jc w:val="center"/>
              <w:rPr>
                <w:rFonts w:ascii="Arial" w:hAnsi="Arial" w:cs="Arial"/>
                <w:b/>
                <w:bCs/>
                <w:sz w:val="20"/>
                <w:szCs w:val="20"/>
              </w:rPr>
            </w:pPr>
            <w:r>
              <w:rPr>
                <w:rFonts w:ascii="Arial" w:hAnsi="Arial"/>
                <w:b/>
                <w:sz w:val="20"/>
              </w:rPr>
              <w:t>52</w:t>
            </w:r>
            <w:r w:rsidR="00DC76D8">
              <w:rPr>
                <w:rFonts w:ascii="Arial" w:hAnsi="Arial"/>
                <w:b/>
                <w:sz w:val="20"/>
              </w:rPr>
              <w:t> </w:t>
            </w:r>
            <w:r>
              <w:rPr>
                <w:rFonts w:ascii="Arial" w:hAnsi="Arial"/>
                <w:b/>
                <w:sz w:val="20"/>
              </w:rPr>
              <w:t>%</w:t>
            </w:r>
          </w:p>
        </w:tc>
      </w:tr>
      <w:tr w:rsidR="00573329" w:rsidRPr="003118BE" w14:paraId="424C4E54" w14:textId="77777777" w:rsidTr="00C41F17">
        <w:trPr>
          <w:cantSplit/>
          <w:trHeight w:val="767"/>
        </w:trPr>
        <w:tc>
          <w:tcPr>
            <w:tcW w:w="3969" w:type="dxa"/>
            <w:shd w:val="clear" w:color="auto" w:fill="DBE5F1" w:themeFill="accent1" w:themeFillTint="33"/>
          </w:tcPr>
          <w:p w14:paraId="01B3833E" w14:textId="598B2780" w:rsidR="00573329" w:rsidRPr="003118BE" w:rsidRDefault="00573329" w:rsidP="00C41F17">
            <w:pPr>
              <w:keepNext/>
              <w:spacing w:before="60" w:after="60"/>
              <w:ind w:left="567" w:hanging="567"/>
              <w:rPr>
                <w:rFonts w:ascii="Arial" w:hAnsi="Arial" w:cs="Arial"/>
                <w:sz w:val="20"/>
                <w:szCs w:val="20"/>
              </w:rPr>
            </w:pPr>
            <w:r>
              <w:rPr>
                <w:rFonts w:ascii="Arial" w:hAnsi="Arial"/>
                <w:sz w:val="20"/>
              </w:rPr>
              <w:t>RE 2 :</w:t>
            </w:r>
            <w:r w:rsidR="00D2006D">
              <w:rPr>
                <w:rFonts w:ascii="Arial" w:hAnsi="Arial" w:cs="Arial"/>
                <w:sz w:val="20"/>
                <w:szCs w:val="20"/>
                <w:lang w:val="fr"/>
              </w:rPr>
              <w:t xml:space="preserve"> </w:t>
            </w:r>
            <w:bookmarkStart w:id="7" w:name="_Hlk166512203"/>
            <w:r w:rsidR="00D2006D" w:rsidRPr="005339C4">
              <w:rPr>
                <w:rFonts w:ascii="Arial" w:hAnsi="Arial" w:cs="Arial"/>
                <w:sz w:val="20"/>
                <w:szCs w:val="20"/>
                <w:lang w:val="fr"/>
              </w:rPr>
              <w:t xml:space="preserve">Mise en œuvre de la Convention dans les États membres encouragée par un programme de </w:t>
            </w:r>
            <w:r w:rsidR="00D2006D" w:rsidRPr="005339C4">
              <w:rPr>
                <w:rFonts w:ascii="Arial" w:hAnsi="Arial" w:cs="Arial"/>
                <w:sz w:val="20"/>
                <w:szCs w:val="20"/>
                <w:lang w:val="fr"/>
              </w:rPr>
              <w:lastRenderedPageBreak/>
              <w:t xml:space="preserve">renforcement des capacités consolidé  </w:t>
            </w:r>
            <w:bookmarkEnd w:id="7"/>
          </w:p>
        </w:tc>
        <w:tc>
          <w:tcPr>
            <w:tcW w:w="850" w:type="dxa"/>
            <w:tcBorders>
              <w:right w:val="single" w:sz="4" w:space="0" w:color="auto"/>
            </w:tcBorders>
            <w:shd w:val="clear" w:color="auto" w:fill="DBE5F1" w:themeFill="accent1" w:themeFillTint="33"/>
          </w:tcPr>
          <w:p w14:paraId="5EBE9C57" w14:textId="3051C35C" w:rsidR="00573329" w:rsidRPr="003118BE" w:rsidRDefault="00573329" w:rsidP="00C41F17">
            <w:pPr>
              <w:keepNext/>
              <w:spacing w:before="60" w:after="60"/>
              <w:ind w:left="567" w:hanging="567"/>
              <w:jc w:val="center"/>
              <w:rPr>
                <w:rFonts w:ascii="Arial" w:hAnsi="Arial" w:cs="Arial"/>
                <w:b/>
                <w:bCs/>
                <w:sz w:val="20"/>
                <w:szCs w:val="20"/>
              </w:rPr>
            </w:pPr>
            <w:r>
              <w:rPr>
                <w:rFonts w:ascii="Arial" w:hAnsi="Arial"/>
                <w:b/>
                <w:sz w:val="20"/>
              </w:rPr>
              <w:lastRenderedPageBreak/>
              <w:t>33</w:t>
            </w:r>
            <w:r w:rsidR="00DC76D8">
              <w:rPr>
                <w:rFonts w:ascii="Arial" w:hAnsi="Arial"/>
                <w:b/>
                <w:sz w:val="20"/>
              </w:rPr>
              <w:t> </w:t>
            </w:r>
            <w:r>
              <w:rPr>
                <w:rFonts w:ascii="Arial" w:hAnsi="Arial"/>
                <w:b/>
                <w:sz w:val="20"/>
              </w:rPr>
              <w:t>%</w:t>
            </w:r>
          </w:p>
        </w:tc>
        <w:tc>
          <w:tcPr>
            <w:tcW w:w="3969" w:type="dxa"/>
            <w:vMerge/>
            <w:tcBorders>
              <w:left w:val="single" w:sz="4" w:space="0" w:color="auto"/>
            </w:tcBorders>
            <w:shd w:val="clear" w:color="auto" w:fill="DBE5F1" w:themeFill="accent1" w:themeFillTint="33"/>
          </w:tcPr>
          <w:p w14:paraId="5180B17F" w14:textId="77777777" w:rsidR="00573329" w:rsidRPr="003118BE" w:rsidRDefault="00573329" w:rsidP="00C41F17">
            <w:pPr>
              <w:keepNext/>
              <w:spacing w:before="60" w:after="60"/>
              <w:jc w:val="center"/>
              <w:rPr>
                <w:rFonts w:ascii="Arial" w:hAnsi="Arial" w:cs="Arial"/>
                <w:b/>
                <w:bCs/>
                <w:sz w:val="20"/>
                <w:szCs w:val="20"/>
                <w:lang w:val="en-GB"/>
              </w:rPr>
            </w:pPr>
          </w:p>
        </w:tc>
        <w:tc>
          <w:tcPr>
            <w:tcW w:w="850" w:type="dxa"/>
            <w:vMerge/>
            <w:shd w:val="clear" w:color="auto" w:fill="DBE5F1" w:themeFill="accent1" w:themeFillTint="33"/>
          </w:tcPr>
          <w:p w14:paraId="51263857" w14:textId="77777777" w:rsidR="00573329" w:rsidRPr="003118BE" w:rsidRDefault="00573329" w:rsidP="00C41F17">
            <w:pPr>
              <w:keepNext/>
              <w:spacing w:before="60" w:after="60"/>
              <w:ind w:left="567" w:hanging="567"/>
              <w:jc w:val="center"/>
              <w:rPr>
                <w:rFonts w:ascii="Arial" w:hAnsi="Arial" w:cs="Arial"/>
                <w:b/>
                <w:bCs/>
                <w:sz w:val="20"/>
                <w:szCs w:val="20"/>
                <w:lang w:val="en-GB"/>
              </w:rPr>
            </w:pPr>
          </w:p>
        </w:tc>
      </w:tr>
      <w:tr w:rsidR="00573329" w:rsidRPr="003118BE" w14:paraId="57BC91F7" w14:textId="77777777" w:rsidTr="00C41F17">
        <w:trPr>
          <w:cantSplit/>
          <w:trHeight w:val="767"/>
        </w:trPr>
        <w:tc>
          <w:tcPr>
            <w:tcW w:w="3969" w:type="dxa"/>
            <w:shd w:val="clear" w:color="auto" w:fill="DBE5F1" w:themeFill="accent1" w:themeFillTint="33"/>
          </w:tcPr>
          <w:p w14:paraId="0465B580" w14:textId="2F638F22" w:rsidR="00573329" w:rsidRPr="003118BE" w:rsidRDefault="00573329" w:rsidP="00C41F17">
            <w:pPr>
              <w:keepNext/>
              <w:spacing w:before="60" w:after="60"/>
              <w:ind w:left="567" w:hanging="567"/>
              <w:rPr>
                <w:rFonts w:ascii="Arial" w:hAnsi="Arial" w:cs="Arial"/>
                <w:sz w:val="20"/>
                <w:szCs w:val="20"/>
              </w:rPr>
            </w:pPr>
            <w:r>
              <w:rPr>
                <w:rFonts w:ascii="Arial" w:hAnsi="Arial"/>
                <w:sz w:val="20"/>
              </w:rPr>
              <w:t xml:space="preserve">RE 3 : </w:t>
            </w:r>
            <w:bookmarkStart w:id="8" w:name="_Hlk166512213"/>
            <w:r w:rsidR="00D2006D" w:rsidRPr="005339C4">
              <w:rPr>
                <w:rFonts w:ascii="Arial" w:hAnsi="Arial" w:cs="Arial"/>
                <w:sz w:val="20"/>
                <w:szCs w:val="20"/>
                <w:lang w:val="fr"/>
              </w:rPr>
              <w:t>Appui à l</w:t>
            </w:r>
            <w:r w:rsidR="00D2006D">
              <w:rPr>
                <w:rFonts w:ascii="Arial" w:hAnsi="Arial" w:cs="Arial"/>
                <w:sz w:val="20"/>
                <w:szCs w:val="20"/>
                <w:lang w:val="fr"/>
              </w:rPr>
              <w:t>’</w:t>
            </w:r>
            <w:r w:rsidR="00D2006D" w:rsidRPr="005339C4">
              <w:rPr>
                <w:rFonts w:ascii="Arial" w:hAnsi="Arial" w:cs="Arial"/>
                <w:sz w:val="20"/>
                <w:szCs w:val="20"/>
                <w:lang w:val="fr"/>
              </w:rPr>
              <w:t>intégration du patrimoine culturel immatériel dans les plans, politiques et programmes de développement</w:t>
            </w:r>
            <w:bookmarkEnd w:id="8"/>
          </w:p>
        </w:tc>
        <w:tc>
          <w:tcPr>
            <w:tcW w:w="850" w:type="dxa"/>
            <w:tcBorders>
              <w:right w:val="single" w:sz="4" w:space="0" w:color="auto"/>
            </w:tcBorders>
            <w:shd w:val="clear" w:color="auto" w:fill="DBE5F1" w:themeFill="accent1" w:themeFillTint="33"/>
          </w:tcPr>
          <w:p w14:paraId="4CF09FD4" w14:textId="4BC0808E" w:rsidR="00573329" w:rsidRPr="003118BE" w:rsidRDefault="00573329" w:rsidP="00C41F17">
            <w:pPr>
              <w:keepNext/>
              <w:spacing w:before="60" w:after="60"/>
              <w:ind w:left="567" w:hanging="567"/>
              <w:jc w:val="center"/>
              <w:rPr>
                <w:rFonts w:ascii="Arial" w:hAnsi="Arial" w:cs="Arial"/>
                <w:b/>
                <w:bCs/>
                <w:sz w:val="20"/>
                <w:szCs w:val="20"/>
              </w:rPr>
            </w:pPr>
            <w:r>
              <w:rPr>
                <w:rFonts w:ascii="Arial" w:hAnsi="Arial"/>
                <w:b/>
                <w:sz w:val="20"/>
              </w:rPr>
              <w:t>19</w:t>
            </w:r>
            <w:r w:rsidR="00DC76D8">
              <w:rPr>
                <w:rFonts w:ascii="Arial" w:hAnsi="Arial"/>
                <w:b/>
                <w:sz w:val="20"/>
              </w:rPr>
              <w:t> </w:t>
            </w:r>
            <w:r>
              <w:rPr>
                <w:rFonts w:ascii="Arial" w:hAnsi="Arial"/>
                <w:b/>
                <w:sz w:val="20"/>
              </w:rPr>
              <w:t>%</w:t>
            </w:r>
          </w:p>
        </w:tc>
        <w:tc>
          <w:tcPr>
            <w:tcW w:w="3969" w:type="dxa"/>
            <w:vMerge w:val="restart"/>
            <w:tcBorders>
              <w:left w:val="single" w:sz="4" w:space="0" w:color="auto"/>
            </w:tcBorders>
            <w:shd w:val="clear" w:color="auto" w:fill="FDE9D9" w:themeFill="accent6" w:themeFillTint="33"/>
          </w:tcPr>
          <w:p w14:paraId="463067EC" w14:textId="042BFDA6" w:rsidR="00573329" w:rsidRPr="003118BE" w:rsidRDefault="00573329" w:rsidP="00C41F17">
            <w:pPr>
              <w:keepNext/>
              <w:spacing w:before="60" w:after="60"/>
              <w:ind w:left="567" w:hanging="567"/>
              <w:rPr>
                <w:rFonts w:ascii="Arial" w:hAnsi="Arial" w:cs="Arial"/>
                <w:i/>
                <w:iCs/>
                <w:sz w:val="20"/>
                <w:szCs w:val="20"/>
              </w:rPr>
            </w:pPr>
            <w:r>
              <w:rPr>
                <w:rFonts w:ascii="Arial" w:hAnsi="Arial"/>
                <w:sz w:val="20"/>
              </w:rPr>
              <w:t xml:space="preserve">RE 2 : </w:t>
            </w:r>
            <w:r w:rsidR="00D2006D" w:rsidRPr="00D2006D">
              <w:rPr>
                <w:rFonts w:ascii="Arial" w:hAnsi="Arial"/>
                <w:sz w:val="20"/>
              </w:rPr>
              <w:t>B</w:t>
            </w:r>
            <w:r w:rsidRPr="00D2006D">
              <w:rPr>
                <w:rFonts w:ascii="Arial" w:hAnsi="Arial"/>
                <w:sz w:val="20"/>
              </w:rPr>
              <w:t>onne gouvernance de la Convention facilitée par l</w:t>
            </w:r>
            <w:r w:rsidR="00D2006D" w:rsidRPr="00E503E8">
              <w:rPr>
                <w:rFonts w:ascii="Arial" w:hAnsi="Arial"/>
                <w:sz w:val="20"/>
              </w:rPr>
              <w:t xml:space="preserve">’amélioration </w:t>
            </w:r>
            <w:r w:rsidRPr="00D2006D">
              <w:rPr>
                <w:rFonts w:ascii="Arial" w:hAnsi="Arial"/>
                <w:sz w:val="20"/>
              </w:rPr>
              <w:t>du suivi, des services de gestion des connaissances et de</w:t>
            </w:r>
            <w:r w:rsidR="00D2006D" w:rsidRPr="00E503E8">
              <w:rPr>
                <w:rFonts w:ascii="Arial" w:hAnsi="Arial"/>
                <w:sz w:val="20"/>
              </w:rPr>
              <w:t>s actions de sensibilisations associées</w:t>
            </w:r>
            <w:r w:rsidRPr="00D2006D">
              <w:rPr>
                <w:rFonts w:ascii="Arial" w:hAnsi="Arial"/>
                <w:sz w:val="20"/>
              </w:rPr>
              <w:t xml:space="preserve"> aux mécanismes de coopération internationale</w:t>
            </w:r>
            <w:r w:rsidR="00D80E57">
              <w:rPr>
                <w:rStyle w:val="Appelnotedebasdep"/>
                <w:rFonts w:ascii="Arial" w:hAnsi="Arial"/>
                <w:sz w:val="20"/>
              </w:rPr>
              <w:footnoteReference w:id="5"/>
            </w:r>
          </w:p>
        </w:tc>
        <w:tc>
          <w:tcPr>
            <w:tcW w:w="850" w:type="dxa"/>
            <w:vMerge w:val="restart"/>
            <w:shd w:val="clear" w:color="auto" w:fill="FDE9D9" w:themeFill="accent6" w:themeFillTint="33"/>
          </w:tcPr>
          <w:p w14:paraId="4A0FB5C1" w14:textId="3310A326" w:rsidR="00573329" w:rsidRPr="003118BE" w:rsidRDefault="00573329" w:rsidP="00C41F17">
            <w:pPr>
              <w:keepNext/>
              <w:spacing w:before="60" w:after="60"/>
              <w:ind w:left="567" w:hanging="567"/>
              <w:jc w:val="center"/>
              <w:rPr>
                <w:rFonts w:ascii="Arial" w:hAnsi="Arial" w:cs="Arial"/>
                <w:b/>
                <w:bCs/>
                <w:sz w:val="20"/>
                <w:szCs w:val="20"/>
              </w:rPr>
            </w:pPr>
            <w:r>
              <w:rPr>
                <w:rFonts w:ascii="Arial" w:hAnsi="Arial"/>
                <w:b/>
                <w:sz w:val="20"/>
              </w:rPr>
              <w:t>48</w:t>
            </w:r>
            <w:r w:rsidR="00DC76D8">
              <w:rPr>
                <w:rFonts w:ascii="Arial" w:hAnsi="Arial"/>
                <w:b/>
                <w:sz w:val="20"/>
              </w:rPr>
              <w:t> </w:t>
            </w:r>
            <w:r>
              <w:rPr>
                <w:rFonts w:ascii="Arial" w:hAnsi="Arial"/>
                <w:b/>
                <w:sz w:val="20"/>
              </w:rPr>
              <w:t>%</w:t>
            </w:r>
          </w:p>
        </w:tc>
      </w:tr>
      <w:tr w:rsidR="00573329" w:rsidRPr="003118BE" w14:paraId="4A908024" w14:textId="77777777" w:rsidTr="00C41F17">
        <w:trPr>
          <w:cantSplit/>
          <w:trHeight w:val="536"/>
        </w:trPr>
        <w:tc>
          <w:tcPr>
            <w:tcW w:w="3969" w:type="dxa"/>
            <w:shd w:val="clear" w:color="auto" w:fill="FDE9D9" w:themeFill="accent6" w:themeFillTint="33"/>
          </w:tcPr>
          <w:p w14:paraId="78389D4C" w14:textId="7F338AE2" w:rsidR="00573329" w:rsidRPr="003118BE" w:rsidRDefault="00385610" w:rsidP="00C41F17">
            <w:pPr>
              <w:keepNext/>
              <w:spacing w:before="60" w:after="60"/>
              <w:ind w:left="567" w:hanging="567"/>
              <w:rPr>
                <w:rFonts w:ascii="Arial" w:hAnsi="Arial" w:cs="Arial"/>
                <w:sz w:val="20"/>
                <w:szCs w:val="20"/>
              </w:rPr>
            </w:pPr>
            <w:r>
              <w:rPr>
                <w:rFonts w:ascii="Arial" w:hAnsi="Arial"/>
                <w:sz w:val="20"/>
              </w:rPr>
              <w:t>RE </w:t>
            </w:r>
            <w:r w:rsidR="00573329">
              <w:rPr>
                <w:rFonts w:ascii="Arial" w:hAnsi="Arial"/>
                <w:sz w:val="20"/>
              </w:rPr>
              <w:t xml:space="preserve">4 : </w:t>
            </w:r>
            <w:bookmarkStart w:id="9" w:name="_Hlk166512238"/>
            <w:r w:rsidR="00573329">
              <w:rPr>
                <w:rFonts w:ascii="Arial" w:hAnsi="Arial"/>
                <w:sz w:val="20"/>
              </w:rPr>
              <w:t xml:space="preserve">Promotion des objectifs de la </w:t>
            </w:r>
            <w:r w:rsidR="00D2006D">
              <w:rPr>
                <w:rFonts w:ascii="Arial" w:hAnsi="Arial"/>
                <w:sz w:val="20"/>
              </w:rPr>
              <w:t>C</w:t>
            </w:r>
            <w:r w:rsidR="00573329">
              <w:rPr>
                <w:rFonts w:ascii="Arial" w:hAnsi="Arial"/>
                <w:sz w:val="20"/>
              </w:rPr>
              <w:t xml:space="preserve">onvention par </w:t>
            </w:r>
            <w:r w:rsidR="00D2006D">
              <w:rPr>
                <w:rFonts w:ascii="Arial" w:hAnsi="Arial"/>
                <w:sz w:val="20"/>
              </w:rPr>
              <w:t xml:space="preserve">des </w:t>
            </w:r>
            <w:r w:rsidR="00573329">
              <w:rPr>
                <w:rFonts w:ascii="Arial" w:hAnsi="Arial"/>
                <w:sz w:val="20"/>
              </w:rPr>
              <w:t>actions de sensibilisation et d</w:t>
            </w:r>
            <w:r w:rsidR="00D2006D">
              <w:rPr>
                <w:rFonts w:ascii="Arial" w:hAnsi="Arial"/>
                <w:sz w:val="20"/>
              </w:rPr>
              <w:t>’information</w:t>
            </w:r>
            <w:bookmarkEnd w:id="9"/>
          </w:p>
        </w:tc>
        <w:tc>
          <w:tcPr>
            <w:tcW w:w="850" w:type="dxa"/>
            <w:tcBorders>
              <w:right w:val="single" w:sz="4" w:space="0" w:color="auto"/>
            </w:tcBorders>
            <w:shd w:val="clear" w:color="auto" w:fill="FDE9D9" w:themeFill="accent6" w:themeFillTint="33"/>
          </w:tcPr>
          <w:p w14:paraId="2EF77461" w14:textId="204FC14C" w:rsidR="00573329" w:rsidRPr="003118BE" w:rsidRDefault="00573329" w:rsidP="00C41F17">
            <w:pPr>
              <w:keepNext/>
              <w:spacing w:before="60" w:after="60"/>
              <w:ind w:left="567" w:hanging="567"/>
              <w:jc w:val="center"/>
              <w:rPr>
                <w:rFonts w:ascii="Arial" w:hAnsi="Arial" w:cs="Arial"/>
                <w:b/>
                <w:bCs/>
                <w:sz w:val="20"/>
                <w:szCs w:val="20"/>
              </w:rPr>
            </w:pPr>
            <w:r>
              <w:rPr>
                <w:rFonts w:ascii="Arial" w:hAnsi="Arial"/>
                <w:b/>
                <w:sz w:val="20"/>
              </w:rPr>
              <w:t>23</w:t>
            </w:r>
            <w:r w:rsidR="00DC76D8">
              <w:rPr>
                <w:rFonts w:ascii="Arial" w:hAnsi="Arial"/>
                <w:b/>
                <w:sz w:val="20"/>
              </w:rPr>
              <w:t> </w:t>
            </w:r>
            <w:r>
              <w:rPr>
                <w:rFonts w:ascii="Arial" w:hAnsi="Arial"/>
                <w:b/>
                <w:sz w:val="20"/>
              </w:rPr>
              <w:t>%</w:t>
            </w:r>
          </w:p>
        </w:tc>
        <w:tc>
          <w:tcPr>
            <w:tcW w:w="3969" w:type="dxa"/>
            <w:vMerge/>
            <w:tcBorders>
              <w:left w:val="single" w:sz="4" w:space="0" w:color="auto"/>
            </w:tcBorders>
            <w:shd w:val="clear" w:color="auto" w:fill="FDE9D9" w:themeFill="accent6" w:themeFillTint="33"/>
          </w:tcPr>
          <w:p w14:paraId="66388C2C" w14:textId="77777777" w:rsidR="00573329" w:rsidRPr="003118BE" w:rsidRDefault="00573329" w:rsidP="00C41F17">
            <w:pPr>
              <w:keepNext/>
              <w:spacing w:before="60" w:after="60"/>
              <w:ind w:left="567" w:hanging="567"/>
              <w:jc w:val="center"/>
              <w:rPr>
                <w:rFonts w:ascii="Arial" w:hAnsi="Arial" w:cs="Arial"/>
                <w:b/>
                <w:bCs/>
                <w:sz w:val="20"/>
                <w:szCs w:val="20"/>
                <w:lang w:val="en-GB"/>
              </w:rPr>
            </w:pPr>
          </w:p>
        </w:tc>
        <w:tc>
          <w:tcPr>
            <w:tcW w:w="850" w:type="dxa"/>
            <w:vMerge/>
            <w:shd w:val="clear" w:color="auto" w:fill="FDE9D9" w:themeFill="accent6" w:themeFillTint="33"/>
          </w:tcPr>
          <w:p w14:paraId="22665325" w14:textId="77777777" w:rsidR="00573329" w:rsidRPr="003118BE" w:rsidRDefault="00573329" w:rsidP="00C41F17">
            <w:pPr>
              <w:keepNext/>
              <w:spacing w:before="60" w:after="60"/>
              <w:ind w:left="567" w:hanging="567"/>
              <w:jc w:val="center"/>
              <w:rPr>
                <w:rFonts w:ascii="Arial" w:hAnsi="Arial" w:cs="Arial"/>
                <w:b/>
                <w:bCs/>
                <w:sz w:val="20"/>
                <w:szCs w:val="20"/>
                <w:lang w:val="en-GB"/>
              </w:rPr>
            </w:pPr>
          </w:p>
        </w:tc>
      </w:tr>
    </w:tbl>
    <w:p w14:paraId="6DEE9E9F" w14:textId="6405723F" w:rsidR="001F25C2" w:rsidRPr="00333F6C" w:rsidRDefault="001F25C2" w:rsidP="001F25C2">
      <w:pPr>
        <w:pStyle w:val="COMPara"/>
        <w:numPr>
          <w:ilvl w:val="0"/>
          <w:numId w:val="23"/>
        </w:numPr>
        <w:spacing w:before="240"/>
        <w:ind w:left="567" w:hanging="567"/>
        <w:jc w:val="both"/>
      </w:pPr>
      <w:r>
        <w:t xml:space="preserve">Conformément à la </w:t>
      </w:r>
      <w:hyperlink r:id="rId34" w:history="1">
        <w:r w:rsidR="00212B46">
          <w:rPr>
            <w:rStyle w:val="Lienhypertexte"/>
          </w:rPr>
          <w:t>R</w:t>
        </w:r>
        <w:r>
          <w:rPr>
            <w:rStyle w:val="Lienhypertexte"/>
          </w:rPr>
          <w:t>ésolution 42C/80</w:t>
        </w:r>
      </w:hyperlink>
      <w:r>
        <w:t xml:space="preserve"> (paragraphe</w:t>
      </w:r>
      <w:r w:rsidR="00DC76D8">
        <w:t> </w:t>
      </w:r>
      <w:r>
        <w:t>3) adoptée par la Conférence générale lors de sa 42e</w:t>
      </w:r>
      <w:r w:rsidR="00DC76D8">
        <w:t> </w:t>
      </w:r>
      <w:r>
        <w:t xml:space="preserve">session en novembre 2023, autorisant le Directeur général à opérer des virements </w:t>
      </w:r>
      <w:r w:rsidR="00D2006D">
        <w:t xml:space="preserve">de crédits </w:t>
      </w:r>
      <w:r>
        <w:t>articles budgétaires du Programme ordinaire de l</w:t>
      </w:r>
      <w:r w:rsidR="00DC76D8">
        <w:t>’</w:t>
      </w:r>
      <w:r>
        <w:t>UNESCO dans la limite de 5</w:t>
      </w:r>
      <w:r w:rsidR="00DC76D8">
        <w:t> </w:t>
      </w:r>
      <w:r>
        <w:t xml:space="preserve">% </w:t>
      </w:r>
      <w:r w:rsidR="00D2006D">
        <w:t xml:space="preserve">des crédits initialement ouverts </w:t>
      </w:r>
      <w:r>
        <w:t>au titre du 42</w:t>
      </w:r>
      <w:r w:rsidR="00DC76D8">
        <w:t> </w:t>
      </w:r>
      <w:r>
        <w:t>C/5, le Comité a autorisé le Secrétariat à opérer des virements entre activités incluses dans l</w:t>
      </w:r>
      <w:r w:rsidR="00DC76D8">
        <w:t>’</w:t>
      </w:r>
      <w:r>
        <w:t>allocation spécifique de l</w:t>
      </w:r>
      <w:r w:rsidR="00DC76D8">
        <w:t>’</w:t>
      </w:r>
      <w:r>
        <w:t>article budgétaire</w:t>
      </w:r>
      <w:r w:rsidR="00DC76D8">
        <w:t> </w:t>
      </w:r>
      <w:r>
        <w:t>3 dans la limite d</w:t>
      </w:r>
      <w:r w:rsidR="00DC76D8">
        <w:t>’</w:t>
      </w:r>
      <w:r>
        <w:t>un montant cumulé équivalant à 5</w:t>
      </w:r>
      <w:r w:rsidR="00DC76D8">
        <w:t> </w:t>
      </w:r>
      <w:r>
        <w:t>% de l</w:t>
      </w:r>
      <w:r w:rsidR="00DC76D8">
        <w:t>’</w:t>
      </w:r>
      <w:r>
        <w:t>allocation totale initiale (</w:t>
      </w:r>
      <w:r w:rsidR="00212B46">
        <w:t>D</w:t>
      </w:r>
      <w:r>
        <w:t>écision</w:t>
      </w:r>
      <w:r w:rsidR="00DC76D8">
        <w:t> </w:t>
      </w:r>
      <w:hyperlink r:id="rId35" w:history="1">
        <w:r>
          <w:rPr>
            <w:rStyle w:val="Lienhypertexte"/>
          </w:rPr>
          <w:t>18.COM</w:t>
        </w:r>
        <w:r w:rsidR="000F17F3">
          <w:rPr>
            <w:rStyle w:val="Lienhypertexte"/>
          </w:rPr>
          <w:t> </w:t>
        </w:r>
        <w:r>
          <w:rPr>
            <w:rStyle w:val="Lienhypertexte"/>
          </w:rPr>
          <w:t>14</w:t>
        </w:r>
      </w:hyperlink>
      <w:r>
        <w:t>). Sur la base du montant indicatif du budget indiqué en annexe, cela équivaudrait à 81</w:t>
      </w:r>
      <w:r w:rsidR="00DC76D8">
        <w:t> </w:t>
      </w:r>
      <w:r>
        <w:t>896</w:t>
      </w:r>
      <w:r w:rsidR="00DC76D8">
        <w:t> </w:t>
      </w:r>
      <w:r w:rsidR="007F4A9E">
        <w:t xml:space="preserve">dollars </w:t>
      </w:r>
      <w:r w:rsidR="007F4A9E" w:rsidRPr="005339C4">
        <w:rPr>
          <w:rStyle w:val="ui-provider"/>
          <w:lang w:val="fr"/>
        </w:rPr>
        <w:t>des États-Unis</w:t>
      </w:r>
      <w:r>
        <w:t>. Le Secrétariat informera par écrit l</w:t>
      </w:r>
      <w:r w:rsidR="00DC76D8">
        <w:t>’</w:t>
      </w:r>
      <w:r>
        <w:t xml:space="preserve">Assemblée générale et le Comité, lors de la session suivant cette action, des détails et des raisons de ces </w:t>
      </w:r>
      <w:r w:rsidRPr="00333F6C">
        <w:t>transferts, le cas échéant.</w:t>
      </w:r>
    </w:p>
    <w:p w14:paraId="7434C1A9" w14:textId="2084DE67" w:rsidR="003E51DD" w:rsidRPr="003E51DD" w:rsidRDefault="003E51DD" w:rsidP="003E51DD">
      <w:pPr>
        <w:pStyle w:val="COMPara"/>
        <w:numPr>
          <w:ilvl w:val="0"/>
          <w:numId w:val="0"/>
        </w:numPr>
        <w:spacing w:before="240"/>
        <w:ind w:left="567"/>
        <w:jc w:val="both"/>
        <w:rPr>
          <w:b/>
          <w:bCs/>
        </w:rPr>
      </w:pPr>
      <w:r w:rsidRPr="00333F6C">
        <w:rPr>
          <w:b/>
        </w:rPr>
        <w:t>Résultat escompté</w:t>
      </w:r>
      <w:r w:rsidR="00DC76D8" w:rsidRPr="00333F6C">
        <w:rPr>
          <w:b/>
        </w:rPr>
        <w:t> </w:t>
      </w:r>
      <w:r w:rsidRPr="00333F6C">
        <w:rPr>
          <w:b/>
        </w:rPr>
        <w:t>1</w:t>
      </w:r>
      <w:r w:rsidR="00DC76D8" w:rsidRPr="00333F6C">
        <w:rPr>
          <w:b/>
        </w:rPr>
        <w:t> </w:t>
      </w:r>
      <w:r w:rsidRPr="00333F6C">
        <w:rPr>
          <w:b/>
        </w:rPr>
        <w:t xml:space="preserve">: La mise en œuvre de la Convention est encouragée </w:t>
      </w:r>
      <w:r w:rsidR="00333F6C" w:rsidRPr="00E503E8">
        <w:rPr>
          <w:b/>
        </w:rPr>
        <w:t>grâce à un</w:t>
      </w:r>
      <w:r w:rsidRPr="00333F6C">
        <w:rPr>
          <w:b/>
        </w:rPr>
        <w:t xml:space="preserve"> programme </w:t>
      </w:r>
      <w:r w:rsidR="00333F6C" w:rsidRPr="00E503E8">
        <w:rPr>
          <w:b/>
        </w:rPr>
        <w:t>renforcé</w:t>
      </w:r>
      <w:r w:rsidR="00333F6C" w:rsidRPr="00333F6C">
        <w:rPr>
          <w:b/>
        </w:rPr>
        <w:t xml:space="preserve"> </w:t>
      </w:r>
      <w:r w:rsidRPr="00333F6C">
        <w:rPr>
          <w:b/>
        </w:rPr>
        <w:t>de renforcement des capacités et</w:t>
      </w:r>
      <w:r w:rsidR="00333F6C" w:rsidRPr="00E503E8">
        <w:rPr>
          <w:b/>
        </w:rPr>
        <w:t xml:space="preserve"> à </w:t>
      </w:r>
      <w:r w:rsidRPr="00333F6C">
        <w:rPr>
          <w:b/>
        </w:rPr>
        <w:t>l</w:t>
      </w:r>
      <w:r w:rsidR="00DC76D8" w:rsidRPr="00333F6C">
        <w:rPr>
          <w:b/>
        </w:rPr>
        <w:t>’</w:t>
      </w:r>
      <w:r w:rsidRPr="00333F6C">
        <w:rPr>
          <w:b/>
        </w:rPr>
        <w:t>intégration du patrimoine culturel immatériel dans les plans, politiques et programmes de développement</w:t>
      </w:r>
    </w:p>
    <w:p w14:paraId="678204A4" w14:textId="36C61426" w:rsidR="003E51DD" w:rsidRPr="003118BE" w:rsidRDefault="003E51DD" w:rsidP="003E51DD">
      <w:pPr>
        <w:pStyle w:val="COMPara"/>
        <w:numPr>
          <w:ilvl w:val="0"/>
          <w:numId w:val="23"/>
        </w:numPr>
        <w:tabs>
          <w:tab w:val="left" w:pos="567"/>
        </w:tabs>
        <w:ind w:left="567" w:hanging="567"/>
        <w:jc w:val="both"/>
      </w:pPr>
      <w:r>
        <w:t>Le Secrétariat continuera à fournir des conseils et un soutien en amont, en s</w:t>
      </w:r>
      <w:r w:rsidR="00DC76D8">
        <w:t>’</w:t>
      </w:r>
      <w:r>
        <w:t>appuyant sur les résultats de la réflexion entreprise à l</w:t>
      </w:r>
      <w:r w:rsidR="00DC76D8">
        <w:t>’</w:t>
      </w:r>
      <w:r>
        <w:t xml:space="preserve">occasion du vingtième anniversaire de la Convention, notamment la </w:t>
      </w:r>
      <w:hyperlink r:id="rId36" w:history="1">
        <w:r>
          <w:rPr>
            <w:rStyle w:val="Lienhypertexte"/>
          </w:rPr>
          <w:t>Vision de Séoul pour l</w:t>
        </w:r>
        <w:r w:rsidR="00DC76D8">
          <w:rPr>
            <w:rStyle w:val="Lienhypertexte"/>
          </w:rPr>
          <w:t>’</w:t>
        </w:r>
        <w:r>
          <w:rPr>
            <w:rStyle w:val="Lienhypertexte"/>
          </w:rPr>
          <w:t>avenir de la sauvegarde du patrimoine vivant pour le développement durable et la paix</w:t>
        </w:r>
      </w:hyperlink>
      <w:r>
        <w:t xml:space="preserve"> (2023), et conformément à la </w:t>
      </w:r>
      <w:hyperlink r:id="rId37" w:history="1">
        <w:r>
          <w:rPr>
            <w:rStyle w:val="Lienhypertexte"/>
          </w:rPr>
          <w:t>Déclaration de MONDIACULT de 2022 sur les politiques culturelles et le développement durable</w:t>
        </w:r>
      </w:hyperlink>
      <w:r>
        <w:t xml:space="preserve">. En outre, </w:t>
      </w:r>
      <w:r w:rsidR="00393A21">
        <w:t xml:space="preserve">cela va permettre de </w:t>
      </w:r>
      <w:r>
        <w:t>(a) renforcer le programme mondial de renforcement des capacités pour répondre à l</w:t>
      </w:r>
      <w:r w:rsidR="00DC76D8">
        <w:t>’</w:t>
      </w:r>
      <w:r>
        <w:t>évolution des besoins des pays en matière de sauvegarde du patrimoine vivant et (b) poursuivr</w:t>
      </w:r>
      <w:r w:rsidR="00393A21">
        <w:t>e</w:t>
      </w:r>
      <w:r>
        <w:t xml:space="preserve"> les initiatives thématiques </w:t>
      </w:r>
      <w:r>
        <w:rPr>
          <w:color w:val="212121"/>
          <w:shd w:val="clear" w:color="auto" w:fill="FFFFFF"/>
        </w:rPr>
        <w:t xml:space="preserve">sur le patrimoine vivant et le développement durable, en particulier </w:t>
      </w:r>
      <w:r>
        <w:t>dans les domaines prioritaires identifiés par le Comité. Pour assurer une portée maximale au programme de renforcement des capacités, des efforts seront déployés pour continuer à développer des contenus et des outils de formation adaptés aux modalités hybrides, en élargissant la portée du programme à de nouveaux publics ainsi qu’en renforçant la mise en réseau et l</w:t>
      </w:r>
      <w:r w:rsidR="00DC76D8">
        <w:t>’</w:t>
      </w:r>
      <w:r>
        <w:t>échange de connaissances grâce à l</w:t>
      </w:r>
      <w:r w:rsidR="00DC76D8">
        <w:t>’</w:t>
      </w:r>
      <w:r>
        <w:t>utilisation de la plateforme de gestion de l</w:t>
      </w:r>
      <w:r w:rsidR="00DC76D8">
        <w:t>’</w:t>
      </w:r>
      <w:r>
        <w:t>apprentissage. Le programme améliorera notamment l</w:t>
      </w:r>
      <w:r w:rsidR="00DC76D8">
        <w:t>’</w:t>
      </w:r>
      <w:r>
        <w:t>expertise thématique du réseau de facilitateurs afin que celui-ci soit en mesure de répondre à la demande de renforcement des capacités dans des domaines thématiques. Le Secrétariat travaillera en outre sur la sauvegarde du patrimoine vivant dans l</w:t>
      </w:r>
      <w:r w:rsidR="00DC76D8">
        <w:t>’</w:t>
      </w:r>
      <w:r>
        <w:t>environnement numérique</w:t>
      </w:r>
      <w:r w:rsidR="00631192">
        <w:t>, y compris sur les implications de l’intelligence artificielle pour la</w:t>
      </w:r>
      <w:r>
        <w:t xml:space="preserve"> </w:t>
      </w:r>
      <w:r w:rsidR="00631192">
        <w:t xml:space="preserve">sauvegarde du patrimoine vivant, </w:t>
      </w:r>
      <w:r>
        <w:t>afin d</w:t>
      </w:r>
      <w:r w:rsidR="00DC76D8">
        <w:t>’</w:t>
      </w:r>
      <w:r>
        <w:t>acquérir davantage de connaissances et d</w:t>
      </w:r>
      <w:r w:rsidR="00DC76D8">
        <w:t>’</w:t>
      </w:r>
      <w:r>
        <w:t>expertise dans ce domaine et de poursuivre le soutien au renforcement des capacités des États et des communautés (recommandations</w:t>
      </w:r>
      <w:r w:rsidR="00DC76D8">
        <w:t> </w:t>
      </w:r>
      <w:r>
        <w:t>8 et 9 de l</w:t>
      </w:r>
      <w:r w:rsidR="00DC76D8">
        <w:t>’</w:t>
      </w:r>
      <w:hyperlink r:id="rId38" w:history="1">
        <w:r>
          <w:rPr>
            <w:rStyle w:val="Lienhypertexte"/>
          </w:rPr>
          <w:t>évaluation</w:t>
        </w:r>
        <w:r w:rsidR="00DC76D8">
          <w:rPr>
            <w:rStyle w:val="Lienhypertexte"/>
          </w:rPr>
          <w:t> </w:t>
        </w:r>
        <w:r>
          <w:rPr>
            <w:rStyle w:val="Lienhypertexte"/>
          </w:rPr>
          <w:t>2021 de l</w:t>
        </w:r>
        <w:r w:rsidR="00DC76D8">
          <w:rPr>
            <w:rStyle w:val="Lienhypertexte"/>
          </w:rPr>
          <w:t>’</w:t>
        </w:r>
        <w:r>
          <w:rPr>
            <w:rStyle w:val="Lienhypertexte"/>
          </w:rPr>
          <w:t>IOS</w:t>
        </w:r>
      </w:hyperlink>
      <w:r>
        <w:t>).</w:t>
      </w:r>
    </w:p>
    <w:p w14:paraId="01F8EBB0" w14:textId="2C55C93C" w:rsidR="003E51DD" w:rsidRDefault="003E51DD" w:rsidP="003E51DD">
      <w:pPr>
        <w:pStyle w:val="COMPara"/>
        <w:numPr>
          <w:ilvl w:val="0"/>
          <w:numId w:val="23"/>
        </w:numPr>
        <w:tabs>
          <w:tab w:val="left" w:pos="567"/>
        </w:tabs>
        <w:ind w:left="567" w:hanging="567"/>
        <w:jc w:val="both"/>
      </w:pPr>
      <w:r>
        <w:lastRenderedPageBreak/>
        <w:t>En réponse à la recommandation</w:t>
      </w:r>
      <w:r w:rsidR="00DC76D8">
        <w:t> </w:t>
      </w:r>
      <w:r>
        <w:t>3 de l</w:t>
      </w:r>
      <w:r w:rsidR="00DC76D8">
        <w:t>’</w:t>
      </w:r>
      <w:hyperlink r:id="rId39" w:history="1">
        <w:r>
          <w:rPr>
            <w:rStyle w:val="Lienhypertexte"/>
          </w:rPr>
          <w:t>évaluation</w:t>
        </w:r>
        <w:r w:rsidR="00DC76D8">
          <w:rPr>
            <w:rStyle w:val="Lienhypertexte"/>
          </w:rPr>
          <w:t> </w:t>
        </w:r>
        <w:r>
          <w:rPr>
            <w:rStyle w:val="Lienhypertexte"/>
          </w:rPr>
          <w:t>2021 de l</w:t>
        </w:r>
        <w:r w:rsidR="00DC76D8">
          <w:rPr>
            <w:rStyle w:val="Lienhypertexte"/>
          </w:rPr>
          <w:t>’</w:t>
        </w:r>
        <w:r>
          <w:rPr>
            <w:rStyle w:val="Lienhypertexte"/>
          </w:rPr>
          <w:t>IOS</w:t>
        </w:r>
      </w:hyperlink>
      <w:r>
        <w:t xml:space="preserve"> visant à aborder les initiatives thématiques prioritaires de la Convention et à relever les défis actuels pour le développement durable et la paix, le Secrétariat a l</w:t>
      </w:r>
      <w:r w:rsidR="00DC76D8">
        <w:t>’</w:t>
      </w:r>
      <w:r>
        <w:t>intention de poursuivre ses travaux sur les «</w:t>
      </w:r>
      <w:r w:rsidR="00DC76D8">
        <w:t> </w:t>
      </w:r>
      <w:hyperlink r:id="rId40" w:history="1">
        <w:r>
          <w:rPr>
            <w:rStyle w:val="Lienhypertexte"/>
          </w:rPr>
          <w:t>Dimensions économiques de la sauvegarde du patrimoine culturel immatériel</w:t>
        </w:r>
      </w:hyperlink>
      <w:r w:rsidR="00DC76D8">
        <w:t> </w:t>
      </w:r>
      <w:r>
        <w:t>» sur la base de la réunion d</w:t>
      </w:r>
      <w:r w:rsidR="00DC76D8">
        <w:t>’</w:t>
      </w:r>
      <w:r>
        <w:t>experts de catégorie</w:t>
      </w:r>
      <w:r w:rsidR="00DC76D8">
        <w:t> </w:t>
      </w:r>
      <w:r>
        <w:t>VI tenue en septembre et octobre 2023, «</w:t>
      </w:r>
      <w:r w:rsidR="00DC76D8">
        <w:t> </w:t>
      </w:r>
      <w:r>
        <w:t>Sauvegarde du patrimoine culturel immatériel et changement climatique</w:t>
      </w:r>
      <w:r w:rsidR="00DC76D8">
        <w:t> </w:t>
      </w:r>
      <w:r>
        <w:t>» et «</w:t>
      </w:r>
      <w:r w:rsidR="00DC76D8">
        <w:t> </w:t>
      </w:r>
      <w:r>
        <w:t>Sauvegarde du patrimoine culturel immatériel dans les contextes urbains</w:t>
      </w:r>
      <w:r w:rsidR="00DC76D8">
        <w:t> </w:t>
      </w:r>
      <w:r>
        <w:t xml:space="preserve">» (voir le document </w:t>
      </w:r>
      <w:hyperlink r:id="rId41" w:history="1">
        <w:r w:rsidRPr="00393A21">
          <w:rPr>
            <w:rStyle w:val="Lienhypertexte"/>
          </w:rPr>
          <w:t>LHE/23/18.COM/12</w:t>
        </w:r>
      </w:hyperlink>
      <w:r w:rsidR="00C65D3F">
        <w:t xml:space="preserve"> Rev.</w:t>
      </w:r>
      <w:r>
        <w:t>). En outre, des efforts seront déployés pour poursuivre les travaux sur «</w:t>
      </w:r>
      <w:r w:rsidR="00DC76D8">
        <w:t> </w:t>
      </w:r>
      <w:r>
        <w:t xml:space="preserve">le </w:t>
      </w:r>
      <w:hyperlink r:id="rId42" w:history="1">
        <w:r>
          <w:rPr>
            <w:rStyle w:val="Lienhypertexte"/>
          </w:rPr>
          <w:t>patrimoine vivant dans les situations d</w:t>
        </w:r>
        <w:r w:rsidR="00DC76D8">
          <w:rPr>
            <w:rStyle w:val="Lienhypertexte"/>
          </w:rPr>
          <w:t>’</w:t>
        </w:r>
        <w:r>
          <w:rPr>
            <w:rStyle w:val="Lienhypertexte"/>
          </w:rPr>
          <w:t>urgence</w:t>
        </w:r>
      </w:hyperlink>
      <w:r w:rsidR="00DC76D8">
        <w:t> </w:t>
      </w:r>
      <w:r>
        <w:t>» et «</w:t>
      </w:r>
      <w:r w:rsidR="00DC76D8">
        <w:t> </w:t>
      </w:r>
      <w:hyperlink r:id="rId43" w:history="1">
        <w:r w:rsidRPr="0095532B">
          <w:rPr>
            <w:rStyle w:val="Lienhypertexte"/>
          </w:rPr>
          <w:t>la sauvegarde du patrimoine culturel immatériel dans l</w:t>
        </w:r>
        <w:r w:rsidR="00DC76D8" w:rsidRPr="0095532B">
          <w:rPr>
            <w:rStyle w:val="Lienhypertexte"/>
          </w:rPr>
          <w:t>’</w:t>
        </w:r>
        <w:r w:rsidRPr="0095532B">
          <w:rPr>
            <w:rStyle w:val="Lienhypertexte"/>
          </w:rPr>
          <w:t>éducation formelle et non formelle</w:t>
        </w:r>
        <w:r w:rsidR="00DC76D8" w:rsidRPr="0095532B">
          <w:rPr>
            <w:rStyle w:val="Lienhypertexte"/>
          </w:rPr>
          <w:t> </w:t>
        </w:r>
      </w:hyperlink>
      <w:r>
        <w:t>». Les actions menées au cours de l</w:t>
      </w:r>
      <w:r w:rsidR="00DC76D8">
        <w:t>’</w:t>
      </w:r>
      <w:r>
        <w:t>exercice biennal comprendront des réunions d</w:t>
      </w:r>
      <w:r w:rsidR="00DC76D8">
        <w:t>’</w:t>
      </w:r>
      <w:r>
        <w:t>experts, l</w:t>
      </w:r>
      <w:r w:rsidR="00DC76D8">
        <w:t>’</w:t>
      </w:r>
      <w:r>
        <w:t>élaboration de documents d</w:t>
      </w:r>
      <w:r w:rsidR="00DC76D8">
        <w:t>’</w:t>
      </w:r>
      <w:r>
        <w:t>orientation et la mise en place de formations, tout en renforçant les synergies avec d</w:t>
      </w:r>
      <w:r w:rsidR="00DC76D8">
        <w:t>’</w:t>
      </w:r>
      <w:r>
        <w:t xml:space="preserve">autres conventions culturelles, des </w:t>
      </w:r>
      <w:proofErr w:type="spellStart"/>
      <w:r>
        <w:t>de</w:t>
      </w:r>
      <w:r w:rsidR="00393A21">
        <w:t>s</w:t>
      </w:r>
      <w:proofErr w:type="spellEnd"/>
      <w:r>
        <w:t xml:space="preserve"> programme</w:t>
      </w:r>
      <w:r w:rsidR="00393A21">
        <w:t>s</w:t>
      </w:r>
      <w:r>
        <w:t xml:space="preserve"> </w:t>
      </w:r>
      <w:r w:rsidR="00393A21">
        <w:t xml:space="preserve">secteurs </w:t>
      </w:r>
      <w:r>
        <w:t xml:space="preserve">ainsi que des organisations, des cadres et des mécanismes internationaux pertinents. </w:t>
      </w:r>
    </w:p>
    <w:p w14:paraId="07462C0B" w14:textId="5AB33C9E" w:rsidR="003E51DD" w:rsidRPr="003E51DD" w:rsidRDefault="003E51DD" w:rsidP="003E51DD">
      <w:pPr>
        <w:pStyle w:val="COMPara"/>
        <w:numPr>
          <w:ilvl w:val="0"/>
          <w:numId w:val="0"/>
        </w:numPr>
        <w:tabs>
          <w:tab w:val="left" w:pos="567"/>
        </w:tabs>
        <w:ind w:left="567"/>
        <w:jc w:val="both"/>
        <w:rPr>
          <w:b/>
          <w:bCs/>
        </w:rPr>
      </w:pPr>
      <w:r w:rsidRPr="00333F6C">
        <w:rPr>
          <w:b/>
        </w:rPr>
        <w:t xml:space="preserve">Résultat </w:t>
      </w:r>
      <w:r w:rsidR="00393A21" w:rsidRPr="00E503E8">
        <w:rPr>
          <w:b/>
        </w:rPr>
        <w:t>escompté</w:t>
      </w:r>
      <w:r w:rsidR="00393A21" w:rsidRPr="00333F6C">
        <w:rPr>
          <w:b/>
        </w:rPr>
        <w:t> </w:t>
      </w:r>
      <w:r w:rsidRPr="00333F6C">
        <w:rPr>
          <w:b/>
        </w:rPr>
        <w:t>2</w:t>
      </w:r>
      <w:r w:rsidR="00DC76D8" w:rsidRPr="00333F6C">
        <w:rPr>
          <w:b/>
        </w:rPr>
        <w:t> </w:t>
      </w:r>
      <w:r w:rsidRPr="00333F6C">
        <w:rPr>
          <w:b/>
        </w:rPr>
        <w:t xml:space="preserve">: Une bonne gouvernance de la Convention facilitée </w:t>
      </w:r>
      <w:r w:rsidR="00333F6C" w:rsidRPr="00E503E8">
        <w:rPr>
          <w:b/>
        </w:rPr>
        <w:t xml:space="preserve">par l’amélioration </w:t>
      </w:r>
      <w:r w:rsidRPr="00333F6C">
        <w:rPr>
          <w:b/>
        </w:rPr>
        <w:t xml:space="preserve">du suivi, des services de gestion des connaissances et </w:t>
      </w:r>
      <w:r w:rsidR="00333F6C" w:rsidRPr="00E503E8">
        <w:rPr>
          <w:b/>
        </w:rPr>
        <w:t>des actions de</w:t>
      </w:r>
      <w:r w:rsidRPr="00333F6C">
        <w:rPr>
          <w:b/>
        </w:rPr>
        <w:t xml:space="preserve"> sensibilisation associés aux mécanismes de coopération internationale</w:t>
      </w:r>
    </w:p>
    <w:p w14:paraId="4A8C7968" w14:textId="411848B7" w:rsidR="003E51DD" w:rsidRPr="003118BE" w:rsidRDefault="003E51DD" w:rsidP="003E51DD">
      <w:pPr>
        <w:pStyle w:val="COMPara"/>
        <w:numPr>
          <w:ilvl w:val="0"/>
          <w:numId w:val="23"/>
        </w:numPr>
        <w:ind w:left="567" w:hanging="567"/>
        <w:jc w:val="both"/>
      </w:pPr>
      <w:r>
        <w:t>Le maintien de la bonne gouvernance reste une priorité pour assurer la mise en œuvre effective de la Convention. Afin de continuer à apporter un soutien adéquat aux organes directeurs de la Convention et aux États, des mesures seront prises pour renforcer les mécanismes de coopération internationale de la Convention, notamment les rapports périodiques, l</w:t>
      </w:r>
      <w:r w:rsidR="00DC76D8">
        <w:t>’</w:t>
      </w:r>
      <w:r>
        <w:t>assistance internationale et les mécanismes d</w:t>
      </w:r>
      <w:r w:rsidR="00DC76D8">
        <w:t>’</w:t>
      </w:r>
      <w:r>
        <w:t>inscription sur les listes, conformément aux recommandations</w:t>
      </w:r>
      <w:r w:rsidR="00DC76D8">
        <w:t> </w:t>
      </w:r>
      <w:r>
        <w:t>2, 5 et 6 de l</w:t>
      </w:r>
      <w:r w:rsidR="00DC76D8">
        <w:t>’</w:t>
      </w:r>
      <w:hyperlink r:id="rId44" w:history="1">
        <w:r>
          <w:rPr>
            <w:rStyle w:val="Lienhypertexte"/>
          </w:rPr>
          <w:t>évaluation</w:t>
        </w:r>
        <w:r w:rsidR="00DC76D8">
          <w:rPr>
            <w:rStyle w:val="Lienhypertexte"/>
          </w:rPr>
          <w:t> </w:t>
        </w:r>
        <w:r>
          <w:rPr>
            <w:rStyle w:val="Lienhypertexte"/>
          </w:rPr>
          <w:t>2021 d</w:t>
        </w:r>
        <w:r w:rsidR="00DC76D8">
          <w:rPr>
            <w:rStyle w:val="Lienhypertexte"/>
          </w:rPr>
          <w:t>’</w:t>
        </w:r>
        <w:r>
          <w:rPr>
            <w:rStyle w:val="Lienhypertexte"/>
          </w:rPr>
          <w:t>IOS.</w:t>
        </w:r>
      </w:hyperlink>
      <w:r>
        <w:t xml:space="preserve"> Dans le cadre de l</w:t>
      </w:r>
      <w:r w:rsidR="00DC76D8">
        <w:t>’</w:t>
      </w:r>
      <w:r>
        <w:t xml:space="preserve">initiative du </w:t>
      </w:r>
      <w:r w:rsidR="00393A21">
        <w:t>S</w:t>
      </w:r>
      <w:r w:rsidRPr="00393A21">
        <w:t>ecteur de la culture de l</w:t>
      </w:r>
      <w:r w:rsidR="00DC76D8" w:rsidRPr="00393A21">
        <w:t>’</w:t>
      </w:r>
      <w:r w:rsidRPr="00393A21">
        <w:t>UNESCO</w:t>
      </w:r>
      <w:r>
        <w:t xml:space="preserve"> visant à produire un rapport global quadriennal sur les politiques culturelles et de l</w:t>
      </w:r>
      <w:r w:rsidR="00DC76D8">
        <w:t>’</w:t>
      </w:r>
      <w:r>
        <w:t>évolution prévue vers un système de soumission unique à l</w:t>
      </w:r>
      <w:r w:rsidR="00DC76D8">
        <w:t>’</w:t>
      </w:r>
      <w:r>
        <w:t>échelle mondiale, l</w:t>
      </w:r>
      <w:r w:rsidR="00DC76D8">
        <w:t>’</w:t>
      </w:r>
      <w:r>
        <w:t xml:space="preserve">analyse des informations collectées par le biais des mécanismes de rapport périodique sera faite et présentée aux sessions correspondantes des organes directeurs, en reconnaissant le rôle clé des données pour guider les efforts des autorités et des communautés dans la sauvegarde du patrimoine vivant. En outre, le Secrétariat mènera des actions en amont pour continuer à faire connaître les listes et le </w:t>
      </w:r>
      <w:r w:rsidR="00393A21">
        <w:t>R</w:t>
      </w:r>
      <w:r>
        <w:t>egistre de la Convention, notamment pour mieux comprendre l</w:t>
      </w:r>
      <w:r w:rsidR="00DC76D8">
        <w:t>’</w:t>
      </w:r>
      <w:r>
        <w:t xml:space="preserve">impact des inscriptions sur les éléments et </w:t>
      </w:r>
      <w:r w:rsidR="002D75E0">
        <w:t xml:space="preserve">les </w:t>
      </w:r>
      <w:r>
        <w:t>communautés associées, ainsi que sur la préparation des propositions d</w:t>
      </w:r>
      <w:r w:rsidR="00DC76D8">
        <w:t>’</w:t>
      </w:r>
      <w:r>
        <w:t>inscription multinationales. Le Secrétariat poursuivra ses efforts pour promouvoir l</w:t>
      </w:r>
      <w:r w:rsidR="00DC76D8">
        <w:t>’</w:t>
      </w:r>
      <w:r>
        <w:t>assistance internationale, y compris l</w:t>
      </w:r>
      <w:r w:rsidR="00DC76D8">
        <w:t>’</w:t>
      </w:r>
      <w:r>
        <w:t>expansion potentielle de l</w:t>
      </w:r>
      <w:r w:rsidR="00DC76D8">
        <w:t>’</w:t>
      </w:r>
      <w:r>
        <w:t xml:space="preserve">assistance préparatoire (voir le document </w:t>
      </w:r>
      <w:hyperlink r:id="rId45" w:history="1">
        <w:r w:rsidRPr="00E503E8">
          <w:rPr>
            <w:rStyle w:val="Lienhypertexte"/>
          </w:rPr>
          <w:t>LHE/24/10.GA/7</w:t>
        </w:r>
      </w:hyperlink>
      <w:r>
        <w:t>), afin d</w:t>
      </w:r>
      <w:r w:rsidR="00DC76D8">
        <w:t>’</w:t>
      </w:r>
      <w:r>
        <w:t>encourager la soumission de demandes et de contribuer à accroître la représentation géographique sur les listes de la Convention. Afin de renforcer la mise en œuvre de l</w:t>
      </w:r>
      <w:r w:rsidR="00DC76D8">
        <w:t>’</w:t>
      </w:r>
      <w:r>
        <w:t>article</w:t>
      </w:r>
      <w:r w:rsidR="00DC76D8">
        <w:t> </w:t>
      </w:r>
      <w:r>
        <w:t>18 de la Convention à la suite de la réflexion sur sa mise en œuvre plus large, un soutien pourrait être apporté à la mise en œuvre des éventuelles décisions à venir des organes directeurs, y compris pour lancer les opérations initiales d</w:t>
      </w:r>
      <w:r w:rsidR="00DC76D8">
        <w:t>’</w:t>
      </w:r>
      <w:r>
        <w:t>une plateforme en ligne pour le partage des bonnes expériences en matière de sauvegarde après sa mise en place (voir paragraphe</w:t>
      </w:r>
      <w:r w:rsidR="00DC76D8">
        <w:t> </w:t>
      </w:r>
      <w:r>
        <w:t>31).</w:t>
      </w:r>
    </w:p>
    <w:p w14:paraId="51583F6B" w14:textId="657F2156" w:rsidR="00475E86" w:rsidRDefault="003E51DD" w:rsidP="003E51DD">
      <w:pPr>
        <w:pStyle w:val="COMPara"/>
        <w:numPr>
          <w:ilvl w:val="0"/>
          <w:numId w:val="23"/>
        </w:numPr>
        <w:ind w:left="567" w:hanging="567"/>
        <w:jc w:val="both"/>
      </w:pPr>
      <w:r>
        <w:t>Conformément aux actions lancées au cours de l</w:t>
      </w:r>
      <w:r w:rsidR="00DC76D8">
        <w:t>’</w:t>
      </w:r>
      <w:bookmarkStart w:id="10" w:name="_Hlk162009818"/>
      <w:r>
        <w:t>exercice précédent</w:t>
      </w:r>
      <w:bookmarkEnd w:id="10"/>
      <w:r>
        <w:t>, le Secrétariat continuera d</w:t>
      </w:r>
      <w:r w:rsidR="00DC76D8">
        <w:t>’</w:t>
      </w:r>
      <w:r>
        <w:t>améliorer ses services de gestion des connaissances, qui sont essentiels compte tenu de l</w:t>
      </w:r>
      <w:r w:rsidR="00DC76D8">
        <w:t>’</w:t>
      </w:r>
      <w:r>
        <w:t>expansion géographique (181 États parties au 31</w:t>
      </w:r>
      <w:r w:rsidR="00DC76D8">
        <w:t> </w:t>
      </w:r>
      <w:r>
        <w:t>décembre 2023) et thématique de la Convention, notamment avec les initiatives thématiques, les mécanismes de rapports périodiques en cours et les réflexions lancées par le Comité sur les mécanismes d</w:t>
      </w:r>
      <w:r w:rsidR="00DC76D8">
        <w:t>’</w:t>
      </w:r>
      <w:r>
        <w:t xml:space="preserve">inscription sur </w:t>
      </w:r>
      <w:r w:rsidR="002D75E0">
        <w:t xml:space="preserve">les listes </w:t>
      </w:r>
      <w:r>
        <w:t>et l</w:t>
      </w:r>
      <w:r w:rsidR="00DC76D8">
        <w:t>’</w:t>
      </w:r>
      <w:r>
        <w:t>article</w:t>
      </w:r>
      <w:r w:rsidR="00DC76D8">
        <w:t> </w:t>
      </w:r>
      <w:r>
        <w:t>18 de la Convention. Des efforts spécifiques seront déployés au cours du prochain exercice biennal afin de normaliser la production et la gestion des données, ainsi que pour faciliter l</w:t>
      </w:r>
      <w:r w:rsidR="00DC76D8">
        <w:t>’</w:t>
      </w:r>
      <w:r>
        <w:t>accès à l</w:t>
      </w:r>
      <w:r w:rsidR="00DC76D8">
        <w:t>’</w:t>
      </w:r>
      <w:r>
        <w:t>information grâce à des formats conviviaux et ouverts, comme le prescrit l</w:t>
      </w:r>
      <w:r w:rsidR="00DC76D8">
        <w:t>’</w:t>
      </w:r>
      <w:hyperlink r:id="rId46" w:history="1">
        <w:r>
          <w:rPr>
            <w:rStyle w:val="Lienhypertexte"/>
          </w:rPr>
          <w:t>évaluation d</w:t>
        </w:r>
        <w:r w:rsidR="00DC76D8">
          <w:rPr>
            <w:rStyle w:val="Lienhypertexte"/>
          </w:rPr>
          <w:t>’</w:t>
        </w:r>
        <w:r>
          <w:rPr>
            <w:rStyle w:val="Lienhypertexte"/>
          </w:rPr>
          <w:t>IOS pour 2021</w:t>
        </w:r>
      </w:hyperlink>
      <w:r>
        <w:t xml:space="preserve"> (recommandations</w:t>
      </w:r>
      <w:r w:rsidR="00DC76D8">
        <w:t> </w:t>
      </w:r>
      <w:r>
        <w:t>10 et 11). La gestion des connaissances de la Convention sera améliorée afin de mettre en œuvre les résultats des récentes réflexions et réformes, ce qui se traduira par une augmentation rapide de la masse d</w:t>
      </w:r>
      <w:r w:rsidR="00DC76D8">
        <w:t>’</w:t>
      </w:r>
      <w:r>
        <w:t>informations provenant d</w:t>
      </w:r>
      <w:r w:rsidR="00DC76D8">
        <w:t>’</w:t>
      </w:r>
      <w:r>
        <w:t>un plus grand nombre d</w:t>
      </w:r>
      <w:r w:rsidR="00DC76D8">
        <w:t>’</w:t>
      </w:r>
      <w:r>
        <w:t>États et de communautés et suscitera l</w:t>
      </w:r>
      <w:r w:rsidR="00DC76D8">
        <w:t>’</w:t>
      </w:r>
      <w:r>
        <w:t>intérêt d</w:t>
      </w:r>
      <w:r w:rsidR="00DC76D8">
        <w:t>’</w:t>
      </w:r>
      <w:r>
        <w:t>un plus grand nombre de parties prenantes. En outre, sur la base de l</w:t>
      </w:r>
      <w:r w:rsidR="00DC76D8">
        <w:t>’</w:t>
      </w:r>
      <w:r>
        <w:t xml:space="preserve">expérience réussie de la </w:t>
      </w:r>
      <w:hyperlink r:id="rId47" w:history="1">
        <w:r>
          <w:rPr>
            <w:rStyle w:val="Lienhypertexte"/>
          </w:rPr>
          <w:t>plateforme</w:t>
        </w:r>
      </w:hyperlink>
      <w:r>
        <w:t xml:space="preserve"> lancée pour le vingtième anniversaire de la Convention, le site web </w:t>
      </w:r>
      <w:r>
        <w:lastRenderedPageBreak/>
        <w:t>de la Convention restera une source d</w:t>
      </w:r>
      <w:r w:rsidR="00DC76D8">
        <w:t>’</w:t>
      </w:r>
      <w:r>
        <w:t>information essentielle pour les représentants des États et les experts, et poursuivra sa refonte pour fournir des approches thématiques, offrir des navigations transversales - y compris par la mise à jour régulière de la rubrique «</w:t>
      </w:r>
      <w:r w:rsidR="00DC76D8">
        <w:t> </w:t>
      </w:r>
      <w:hyperlink r:id="rId48" w:history="1">
        <w:r w:rsidRPr="002D75E0">
          <w:rPr>
            <w:rStyle w:val="Lienhypertexte"/>
          </w:rPr>
          <w:t>Plongez dans le patrimoine culturel immatériel</w:t>
        </w:r>
        <w:r w:rsidR="00DC76D8" w:rsidRPr="002D75E0">
          <w:rPr>
            <w:rStyle w:val="Lienhypertexte"/>
          </w:rPr>
          <w:t> </w:t>
        </w:r>
        <w:r w:rsidRPr="002D75E0">
          <w:rPr>
            <w:rStyle w:val="Lienhypertexte"/>
          </w:rPr>
          <w:t>!</w:t>
        </w:r>
      </w:hyperlink>
      <w:r w:rsidR="00DC76D8">
        <w:t> </w:t>
      </w:r>
      <w:r>
        <w:t>» - et mettre en valeur des contenus tels que la visualisation de données, des photos de haute qualité et du matériel audiovisuel illustrant le patrimoine vivant en action.</w:t>
      </w:r>
    </w:p>
    <w:p w14:paraId="2341FEDD" w14:textId="570E9C1A" w:rsidR="003E51DD" w:rsidRPr="00B87E19" w:rsidRDefault="00B87E19" w:rsidP="00B87E19">
      <w:pPr>
        <w:pStyle w:val="COMPara"/>
        <w:numPr>
          <w:ilvl w:val="0"/>
          <w:numId w:val="0"/>
        </w:numPr>
        <w:ind w:left="567"/>
        <w:jc w:val="both"/>
        <w:rPr>
          <w:b/>
          <w:bCs/>
        </w:rPr>
      </w:pPr>
      <w:r>
        <w:rPr>
          <w:b/>
        </w:rPr>
        <w:t>Participation d</w:t>
      </w:r>
      <w:r w:rsidR="00DC76D8">
        <w:rPr>
          <w:b/>
        </w:rPr>
        <w:t>’</w:t>
      </w:r>
      <w:r>
        <w:rPr>
          <w:b/>
        </w:rPr>
        <w:t>experts aux réunions des organes directeurs</w:t>
      </w:r>
    </w:p>
    <w:p w14:paraId="6F8BCEE6" w14:textId="64F32C1C" w:rsidR="00B87E19" w:rsidRDefault="00B87E19" w:rsidP="00B87E19">
      <w:pPr>
        <w:pStyle w:val="COMPara"/>
        <w:numPr>
          <w:ilvl w:val="0"/>
          <w:numId w:val="23"/>
        </w:numPr>
        <w:ind w:left="567" w:hanging="567"/>
        <w:jc w:val="both"/>
      </w:pPr>
      <w:r>
        <w:t xml:space="preserve">La participation des experts du patrimoine culturel immatériel représentant les États parties en développement aux réunions statutaires est couverte soit par la </w:t>
      </w:r>
      <w:r>
        <w:rPr>
          <w:b/>
        </w:rPr>
        <w:t>ligne budgétaire</w:t>
      </w:r>
      <w:r w:rsidR="00DC76D8">
        <w:rPr>
          <w:b/>
        </w:rPr>
        <w:t> </w:t>
      </w:r>
      <w:r>
        <w:rPr>
          <w:b/>
        </w:rPr>
        <w:t>4</w:t>
      </w:r>
      <w:r>
        <w:t xml:space="preserve"> lorsqu</w:t>
      </w:r>
      <w:r w:rsidR="00DC76D8">
        <w:t>’</w:t>
      </w:r>
      <w:r>
        <w:t xml:space="preserve">ils sont membres du Comité, soit par la </w:t>
      </w:r>
      <w:r>
        <w:rPr>
          <w:b/>
        </w:rPr>
        <w:t>ligne budgétaire</w:t>
      </w:r>
      <w:r w:rsidR="00DC76D8">
        <w:rPr>
          <w:b/>
        </w:rPr>
        <w:t> </w:t>
      </w:r>
      <w:r>
        <w:rPr>
          <w:b/>
        </w:rPr>
        <w:t>5</w:t>
      </w:r>
      <w:r>
        <w:t xml:space="preserve"> lorsqu</w:t>
      </w:r>
      <w:r w:rsidR="00DC76D8">
        <w:t>’</w:t>
      </w:r>
      <w:r>
        <w:t>ils ne le sont pas. La participation d</w:t>
      </w:r>
      <w:r w:rsidR="00DC76D8">
        <w:t>’</w:t>
      </w:r>
      <w:r>
        <w:t xml:space="preserve">experts représentant des ONG accréditées de pays en développement aux sessions du comité est couverte par la </w:t>
      </w:r>
      <w:r>
        <w:rPr>
          <w:b/>
        </w:rPr>
        <w:t>ligne budgétaire</w:t>
      </w:r>
      <w:r w:rsidR="00DC76D8">
        <w:rPr>
          <w:b/>
        </w:rPr>
        <w:t> </w:t>
      </w:r>
      <w:r>
        <w:rPr>
          <w:b/>
        </w:rPr>
        <w:t>6</w:t>
      </w:r>
      <w:r>
        <w:t>. Il est proposé que 2,5</w:t>
      </w:r>
      <w:r w:rsidR="00DC76D8">
        <w:t> </w:t>
      </w:r>
      <w:r>
        <w:t>%, 2,7</w:t>
      </w:r>
      <w:r w:rsidR="00DC76D8">
        <w:t> </w:t>
      </w:r>
      <w:r>
        <w:t>% et 2,7</w:t>
      </w:r>
      <w:r w:rsidR="00DC76D8">
        <w:t> </w:t>
      </w:r>
      <w:r>
        <w:t>%, respectivement, soient consacrés aux lignes susmentionnées. Il s</w:t>
      </w:r>
      <w:r w:rsidR="00DC76D8">
        <w:t>’</w:t>
      </w:r>
      <w:r>
        <w:t>agit d</w:t>
      </w:r>
      <w:r w:rsidR="00DC76D8">
        <w:t>’</w:t>
      </w:r>
      <w:r>
        <w:t xml:space="preserve">une légère diminution de chaque ligne, qui permettrait toutefois au Fonds de répondre à toutes les demandes des membres du Comité et à la plupart, voire à la totalité, des demandes soumises par les États parties non membres du Comité et les organisations non gouvernementales accréditées. </w:t>
      </w:r>
    </w:p>
    <w:p w14:paraId="713C01B9" w14:textId="4831843D" w:rsidR="00803EF3" w:rsidRPr="00803EF3" w:rsidRDefault="00803EF3" w:rsidP="00CA4765">
      <w:pPr>
        <w:pStyle w:val="COMPara"/>
        <w:keepNext/>
        <w:numPr>
          <w:ilvl w:val="0"/>
          <w:numId w:val="0"/>
        </w:numPr>
        <w:ind w:left="567"/>
        <w:jc w:val="both"/>
        <w:rPr>
          <w:b/>
          <w:bCs/>
        </w:rPr>
      </w:pPr>
      <w:r>
        <w:rPr>
          <w:b/>
        </w:rPr>
        <w:t>Services consultatifs au Comité</w:t>
      </w:r>
    </w:p>
    <w:p w14:paraId="12210674" w14:textId="772B1475" w:rsidR="00803EF3" w:rsidRPr="003118BE" w:rsidRDefault="00803EF3" w:rsidP="00E503E8">
      <w:pPr>
        <w:pStyle w:val="COMPara"/>
        <w:numPr>
          <w:ilvl w:val="0"/>
          <w:numId w:val="23"/>
        </w:numPr>
        <w:ind w:left="567" w:hanging="567"/>
        <w:jc w:val="both"/>
      </w:pPr>
      <w:r>
        <w:t xml:space="preserve">Il est proposé de diminuer légèrement la </w:t>
      </w:r>
      <w:r>
        <w:rPr>
          <w:b/>
        </w:rPr>
        <w:t>ligne budgétaire</w:t>
      </w:r>
      <w:r w:rsidR="00DC76D8">
        <w:rPr>
          <w:b/>
        </w:rPr>
        <w:t> </w:t>
      </w:r>
      <w:r>
        <w:rPr>
          <w:b/>
        </w:rPr>
        <w:t>7</w:t>
      </w:r>
      <w:r>
        <w:t xml:space="preserve"> de 7,7</w:t>
      </w:r>
      <w:r w:rsidR="00DC76D8">
        <w:t> </w:t>
      </w:r>
      <w:r>
        <w:t>% à 7</w:t>
      </w:r>
      <w:r w:rsidR="00DC76D8">
        <w:t> </w:t>
      </w:r>
      <w:r>
        <w:t>% pour couvrir le coût des services consultatifs fournis à la demande du Comité de janvier 2024 à décembre 2025, en particulier ceux associés aux travaux de l</w:t>
      </w:r>
      <w:r w:rsidR="00DC76D8">
        <w:t>’</w:t>
      </w:r>
      <w:r>
        <w:t>organe d</w:t>
      </w:r>
      <w:r w:rsidR="00DC76D8">
        <w:t>’</w:t>
      </w:r>
      <w:r>
        <w:t>évaluation. Conformément à cette proposition, cette ligne devrait continuer à couvrir les coûts des services consultatifs fournis par l</w:t>
      </w:r>
      <w:r w:rsidR="00DC76D8">
        <w:t>’</w:t>
      </w:r>
      <w:r>
        <w:t>Organe d</w:t>
      </w:r>
      <w:r w:rsidR="00DC76D8">
        <w:t>’</w:t>
      </w:r>
      <w:r>
        <w:t>évaluation en 2024 et 2025, même en tenant compte de l</w:t>
      </w:r>
      <w:r w:rsidR="00DC76D8">
        <w:t>’</w:t>
      </w:r>
      <w:r>
        <w:t>augmentation du nombre de dossiers pour les deux cycles correspondants à la suite de la décision du Comité de traiter les demandes de transfert d</w:t>
      </w:r>
      <w:r w:rsidR="00DC76D8">
        <w:t>’</w:t>
      </w:r>
      <w:r>
        <w:t>éléments d</w:t>
      </w:r>
      <w:r w:rsidR="00DC76D8">
        <w:t>’</w:t>
      </w:r>
      <w:r>
        <w:t>une liste à l</w:t>
      </w:r>
      <w:r w:rsidR="00DC76D8">
        <w:t>’</w:t>
      </w:r>
      <w:r>
        <w:t>autre, l</w:t>
      </w:r>
      <w:r w:rsidR="00DC76D8">
        <w:t>’</w:t>
      </w:r>
      <w:r>
        <w:t>inclusion dans le Registre des bonnes pratiques de sauvegarde d</w:t>
      </w:r>
      <w:r w:rsidR="002D75E0">
        <w:t>’</w:t>
      </w:r>
      <w:r>
        <w:t>expérience de sauvegarde réussie résultant d</w:t>
      </w:r>
      <w:r w:rsidR="00DC76D8">
        <w:t>’</w:t>
      </w:r>
      <w:r>
        <w:t>un transfert de la Liste de sauvegarde urgente à la Liste représentative, les demandes d</w:t>
      </w:r>
      <w:r w:rsidR="00DC76D8">
        <w:t>’</w:t>
      </w:r>
      <w:r>
        <w:t>inscription sur une base étendue ou réduite, ainsi que le suivi des éléments inscrits, en dehors du plafond annuel (</w:t>
      </w:r>
      <w:r w:rsidR="00212B46">
        <w:t>D</w:t>
      </w:r>
      <w:r>
        <w:t>écision</w:t>
      </w:r>
      <w:r w:rsidR="00DC76D8">
        <w:t> </w:t>
      </w:r>
      <w:hyperlink r:id="rId49" w:history="1">
        <w:r>
          <w:rPr>
            <w:rStyle w:val="Lienhypertexte"/>
          </w:rPr>
          <w:t>17.COM 15</w:t>
        </w:r>
      </w:hyperlink>
      <w:r>
        <w:t>).</w:t>
      </w:r>
    </w:p>
    <w:p w14:paraId="231468DD" w14:textId="570A32F9" w:rsidR="00803EF3" w:rsidRPr="007B13D8" w:rsidRDefault="00803EF3" w:rsidP="00E503E8">
      <w:pPr>
        <w:pStyle w:val="COMPara"/>
        <w:numPr>
          <w:ilvl w:val="0"/>
          <w:numId w:val="23"/>
        </w:numPr>
        <w:ind w:left="567" w:hanging="567"/>
        <w:jc w:val="both"/>
      </w:pPr>
      <w:r>
        <w:t>En outre, cette ligne budgétaire est prévue pour couvrir les coûts associés à la mise en place initiale d</w:t>
      </w:r>
      <w:r w:rsidR="00DC76D8">
        <w:t>’</w:t>
      </w:r>
      <w:r>
        <w:t xml:space="preserve">une plateforme en ligne </w:t>
      </w:r>
      <w:bookmarkStart w:id="11" w:name="_Hlk149417398"/>
      <w:r>
        <w:t>pour le partage des bonnes expériences de sauvegarde</w:t>
      </w:r>
      <w:bookmarkEnd w:id="11"/>
      <w:r>
        <w:t>, y compris les développements informatiques, la préparation du contenu et les tests initiaux du système, afin de mettre pleinement en œuvre l</w:t>
      </w:r>
      <w:r w:rsidR="00DC76D8">
        <w:t>’</w:t>
      </w:r>
      <w:r>
        <w:t>article</w:t>
      </w:r>
      <w:r w:rsidR="00DC76D8">
        <w:t> </w:t>
      </w:r>
      <w:r>
        <w:t>18 de la Convention (</w:t>
      </w:r>
      <w:r w:rsidR="00212B46">
        <w:t>D</w:t>
      </w:r>
      <w:r>
        <w:t>écision</w:t>
      </w:r>
      <w:r w:rsidR="00DC76D8">
        <w:t> </w:t>
      </w:r>
      <w:hyperlink r:id="rId50" w:history="1">
        <w:r>
          <w:rPr>
            <w:rStyle w:val="Lienhypertexte"/>
          </w:rPr>
          <w:t>18.COM</w:t>
        </w:r>
        <w:r w:rsidR="0095532B">
          <w:rPr>
            <w:rStyle w:val="Lienhypertexte"/>
          </w:rPr>
          <w:t> </w:t>
        </w:r>
        <w:r>
          <w:rPr>
            <w:rStyle w:val="Lienhypertexte"/>
          </w:rPr>
          <w:t>11</w:t>
        </w:r>
      </w:hyperlink>
      <w:r>
        <w:t>). Si l</w:t>
      </w:r>
      <w:r w:rsidR="00DC76D8">
        <w:t>’</w:t>
      </w:r>
      <w:r>
        <w:t>Assemblée générale approuve «</w:t>
      </w:r>
      <w:r w:rsidR="00DC76D8">
        <w:t> </w:t>
      </w:r>
      <w:r>
        <w:t xml:space="preserve">les révisions proposées aux </w:t>
      </w:r>
      <w:r w:rsidR="002D75E0">
        <w:t>D</w:t>
      </w:r>
      <w:r>
        <w:t>irectives opérationnelles pour la mise en œuvre de la Convention</w:t>
      </w:r>
      <w:r w:rsidR="00DC76D8">
        <w:t> </w:t>
      </w:r>
      <w:r>
        <w:t>» au titre du point</w:t>
      </w:r>
      <w:r w:rsidR="00DC76D8">
        <w:t> </w:t>
      </w:r>
      <w:r>
        <w:t>7, l</w:t>
      </w:r>
      <w:r w:rsidR="00DC76D8">
        <w:t>’</w:t>
      </w:r>
      <w:r>
        <w:t xml:space="preserve">allocation proposée permettra au Secrétariat de lancer la mise en place de la plateforme en ligne pour le partage des bonnes expériences en matière de sauvegarde. </w:t>
      </w:r>
    </w:p>
    <w:p w14:paraId="6588B349" w14:textId="54B06F3E" w:rsidR="00BF1B48" w:rsidRPr="00BF1B48" w:rsidRDefault="007B13D8" w:rsidP="00BF1B48">
      <w:pPr>
        <w:pStyle w:val="COMPara"/>
        <w:numPr>
          <w:ilvl w:val="0"/>
          <w:numId w:val="23"/>
        </w:numPr>
        <w:tabs>
          <w:tab w:val="left" w:pos="567"/>
        </w:tabs>
        <w:ind w:left="567" w:hanging="567"/>
        <w:jc w:val="both"/>
        <w:rPr>
          <w:bCs/>
        </w:rPr>
      </w:pPr>
      <w:r>
        <w:t>Lors de sa neuvième session, l</w:t>
      </w:r>
      <w:r w:rsidR="00DC76D8">
        <w:t>’</w:t>
      </w:r>
      <w:r>
        <w:t>Assemblée générale a recommandé que le Secrétariat soit autorisé à effectuer des transferts entre les lignes budgétaires</w:t>
      </w:r>
      <w:r w:rsidR="00DC76D8">
        <w:t> </w:t>
      </w:r>
      <w:r>
        <w:t xml:space="preserve">4, 5, 6 et 7, </w:t>
      </w:r>
      <w:r w:rsidR="00333F6C">
        <w:t xml:space="preserve">à hauteur </w:t>
      </w:r>
      <w:r>
        <w:t>de 30</w:t>
      </w:r>
      <w:r w:rsidR="00DC76D8">
        <w:t> </w:t>
      </w:r>
      <w:r>
        <w:t>% de leur allocation totale initiale (Résolution</w:t>
      </w:r>
      <w:r w:rsidR="00DC76D8">
        <w:t> </w:t>
      </w:r>
      <w:hyperlink r:id="rId51" w:history="1">
        <w:r>
          <w:rPr>
            <w:rStyle w:val="Lienhypertexte"/>
          </w:rPr>
          <w:t>9.GA</w:t>
        </w:r>
        <w:r w:rsidR="00212B46">
          <w:rPr>
            <w:rStyle w:val="Lienhypertexte"/>
          </w:rPr>
          <w:t xml:space="preserve"> </w:t>
        </w:r>
        <w:r>
          <w:rPr>
            <w:rStyle w:val="Lienhypertexte"/>
          </w:rPr>
          <w:t>10</w:t>
        </w:r>
        <w:r w:rsidRPr="00E503E8">
          <w:rPr>
            <w:rStyle w:val="Lienhypertexte"/>
            <w:color w:val="auto"/>
          </w:rPr>
          <w:t>)</w:t>
        </w:r>
      </w:hyperlink>
      <w:r>
        <w:t>. Au cours de l</w:t>
      </w:r>
      <w:r w:rsidR="00DC76D8">
        <w:t>’</w:t>
      </w:r>
      <w:r>
        <w:t>exercice</w:t>
      </w:r>
      <w:r w:rsidR="00DC76D8">
        <w:t> </w:t>
      </w:r>
      <w:r>
        <w:t xml:space="preserve">2022-2023, le Secrétariat a effectué deux transferts au titre de ces lignes budgétaires pour couvrir les frais des participants à la dix-huitième session du Comité (voir le document </w:t>
      </w:r>
      <w:hyperlink r:id="rId52" w:history="1">
        <w:r w:rsidRPr="00E503E8">
          <w:rPr>
            <w:rStyle w:val="Lienhypertexte"/>
          </w:rPr>
          <w:t>LHE/24/10.GA/INF.8</w:t>
        </w:r>
      </w:hyperlink>
      <w:r>
        <w:t>). Afin de pouvoir continuer à répondre à un maximum de demandes d</w:t>
      </w:r>
      <w:r w:rsidR="00DC76D8">
        <w:t>’</w:t>
      </w:r>
      <w:r>
        <w:t>assistance financière de la part des différentes catégories de participants, le Comité a recommandé à l</w:t>
      </w:r>
      <w:r w:rsidR="00DC76D8">
        <w:t>’</w:t>
      </w:r>
      <w:r>
        <w:t>Assemblée générale de continuer à autoriser le Secrétariat à effectuer des transferts entre les lignes budgétaires</w:t>
      </w:r>
      <w:r w:rsidR="00DC76D8">
        <w:t> </w:t>
      </w:r>
      <w:r>
        <w:t>4, 5, 6 et 7, jusqu</w:t>
      </w:r>
      <w:r w:rsidR="00DC76D8">
        <w:t>’</w:t>
      </w:r>
      <w:r>
        <w:t>à un équivalent de 30</w:t>
      </w:r>
      <w:r w:rsidR="00DC76D8">
        <w:t> </w:t>
      </w:r>
      <w:r>
        <w:t>% de leur total initial (Décision</w:t>
      </w:r>
      <w:r w:rsidR="00DC76D8">
        <w:t> </w:t>
      </w:r>
      <w:hyperlink r:id="rId53" w:history="1">
        <w:r>
          <w:rPr>
            <w:rStyle w:val="Lienhypertexte"/>
          </w:rPr>
          <w:t>18.COM 14</w:t>
        </w:r>
      </w:hyperlink>
      <w:r>
        <w:t>). Si un tel transfert s</w:t>
      </w:r>
      <w:r w:rsidR="00DC76D8">
        <w:t>’</w:t>
      </w:r>
      <w:r>
        <w:t xml:space="preserve">avérait nécessaire, le Secrétariat </w:t>
      </w:r>
      <w:r w:rsidR="00333F6C">
        <w:t xml:space="preserve">devrait informer </w:t>
      </w:r>
      <w:r>
        <w:t>par écrit l</w:t>
      </w:r>
      <w:r w:rsidR="00DC76D8">
        <w:t>’</w:t>
      </w:r>
      <w:r>
        <w:t>Assemblée générale et le Comité, lors de la session suivant cette action, des détails et des raisons de ces transferts.</w:t>
      </w:r>
    </w:p>
    <w:p w14:paraId="50D3EAFF" w14:textId="3A349EC1" w:rsidR="00D95C4C" w:rsidRPr="00BB6EEC" w:rsidRDefault="005C792B" w:rsidP="00CA4765">
      <w:pPr>
        <w:pStyle w:val="COMPara"/>
        <w:keepNext/>
        <w:numPr>
          <w:ilvl w:val="0"/>
          <w:numId w:val="23"/>
        </w:numPr>
        <w:ind w:left="567" w:hanging="567"/>
      </w:pPr>
      <w:r>
        <w:lastRenderedPageBreak/>
        <w:t xml:space="preserve">L’Assemblée générale souhaitera peut-être adopter la </w:t>
      </w:r>
      <w:r w:rsidRPr="00333F6C">
        <w:t>résolution suivante</w:t>
      </w:r>
      <w:r>
        <w:t> :</w:t>
      </w:r>
    </w:p>
    <w:p w14:paraId="6CEB1E9D" w14:textId="0FA87B1D" w:rsidR="00D95C4C" w:rsidRPr="00BB6EEC" w:rsidRDefault="004A34A0" w:rsidP="001D14FE">
      <w:pPr>
        <w:pStyle w:val="COMTitleDecision"/>
        <w:rPr>
          <w:rFonts w:eastAsia="SimSun"/>
        </w:rPr>
      </w:pPr>
      <w:r>
        <w:t>PROJET DE RÉSOLUTION</w:t>
      </w:r>
      <w:r w:rsidR="00DC76D8">
        <w:t> </w:t>
      </w:r>
      <w:r>
        <w:t>10.GA</w:t>
      </w:r>
      <w:r w:rsidR="00DC76D8">
        <w:t> </w:t>
      </w:r>
      <w:r>
        <w:t>8</w:t>
      </w:r>
    </w:p>
    <w:p w14:paraId="13024F0B" w14:textId="437757D7" w:rsidR="00D95C4C" w:rsidRPr="00BB6EEC" w:rsidRDefault="005C792B" w:rsidP="00285BB4">
      <w:pPr>
        <w:pStyle w:val="COMPreambulaDecisions"/>
        <w:rPr>
          <w:rFonts w:eastAsia="SimSun"/>
        </w:rPr>
      </w:pPr>
      <w:r>
        <w:t>L</w:t>
      </w:r>
      <w:r w:rsidR="00DC76D8">
        <w:t>’</w:t>
      </w:r>
      <w:r>
        <w:t>Assemblée générale,</w:t>
      </w:r>
    </w:p>
    <w:p w14:paraId="5A9F22F3" w14:textId="5A0E0284" w:rsidR="0057439C" w:rsidRPr="00BB6EEC" w:rsidRDefault="00D95C4C" w:rsidP="001478D5">
      <w:pPr>
        <w:pStyle w:val="COMParaDecision"/>
        <w:ind w:left="1134" w:hanging="567"/>
      </w:pPr>
      <w:r>
        <w:t>Ayant examiné</w:t>
      </w:r>
      <w:r w:rsidRPr="00E503E8">
        <w:rPr>
          <w:u w:val="none"/>
        </w:rPr>
        <w:t xml:space="preserve"> les</w:t>
      </w:r>
      <w:r>
        <w:rPr>
          <w:u w:val="none"/>
        </w:rPr>
        <w:t xml:space="preserve"> documents LHE/24/10.GA/8 </w:t>
      </w:r>
      <w:r w:rsidRPr="000F17F3">
        <w:rPr>
          <w:u w:val="none"/>
        </w:rPr>
        <w:t xml:space="preserve">et </w:t>
      </w:r>
      <w:hyperlink r:id="rId54" w:history="1">
        <w:r w:rsidRPr="00E503E8">
          <w:rPr>
            <w:rStyle w:val="Lienhypertexte"/>
          </w:rPr>
          <w:t>LHE/24/10.GA/INF.8</w:t>
        </w:r>
      </w:hyperlink>
      <w:r>
        <w:rPr>
          <w:u w:val="none"/>
        </w:rPr>
        <w:t xml:space="preserve"> et leurs annexes respectives</w:t>
      </w:r>
      <w:r w:rsidRPr="00E503E8">
        <w:rPr>
          <w:u w:val="none"/>
        </w:rPr>
        <w:t>,</w:t>
      </w:r>
      <w:r>
        <w:rPr>
          <w:u w:val="none"/>
        </w:rPr>
        <w:t xml:space="preserve"> </w:t>
      </w:r>
    </w:p>
    <w:p w14:paraId="384D1EF5" w14:textId="3318E379" w:rsidR="00E61198" w:rsidRPr="00E61198" w:rsidRDefault="00E61198" w:rsidP="001478D5">
      <w:pPr>
        <w:pStyle w:val="COMParaDecision"/>
        <w:ind w:left="1134" w:hanging="567"/>
      </w:pPr>
      <w:r>
        <w:t>Rappelant</w:t>
      </w:r>
      <w:r w:rsidRPr="00E503E8">
        <w:rPr>
          <w:u w:val="none"/>
        </w:rPr>
        <w:t xml:space="preserve"> l</w:t>
      </w:r>
      <w:r w:rsidR="00DC76D8" w:rsidRPr="00E503E8">
        <w:rPr>
          <w:u w:val="none"/>
        </w:rPr>
        <w:t>’</w:t>
      </w:r>
      <w:r w:rsidRPr="001E39BE">
        <w:rPr>
          <w:u w:val="none"/>
        </w:rPr>
        <w:t>article</w:t>
      </w:r>
      <w:r w:rsidR="00DC76D8">
        <w:rPr>
          <w:u w:val="none"/>
        </w:rPr>
        <w:t> </w:t>
      </w:r>
      <w:r>
        <w:rPr>
          <w:u w:val="none"/>
        </w:rPr>
        <w:t>7(c) de la Convention et le chapitre</w:t>
      </w:r>
      <w:r w:rsidR="00DC76D8">
        <w:rPr>
          <w:u w:val="none"/>
        </w:rPr>
        <w:t> </w:t>
      </w:r>
      <w:r>
        <w:rPr>
          <w:u w:val="none"/>
        </w:rPr>
        <w:t>II.1 des Directives opérationnelles</w:t>
      </w:r>
      <w:r w:rsidRPr="00E503E8">
        <w:rPr>
          <w:u w:val="none"/>
        </w:rPr>
        <w:t>,</w:t>
      </w:r>
    </w:p>
    <w:p w14:paraId="03C0863E" w14:textId="4E6E3D13" w:rsidR="00E61198" w:rsidRDefault="00E61198" w:rsidP="001478D5">
      <w:pPr>
        <w:pStyle w:val="COMParaDecision"/>
        <w:ind w:left="1134" w:hanging="567"/>
        <w:rPr>
          <w:u w:val="none"/>
        </w:rPr>
      </w:pPr>
      <w:r>
        <w:t>Rappelant en outre</w:t>
      </w:r>
      <w:r w:rsidRPr="00E503E8">
        <w:rPr>
          <w:u w:val="none"/>
        </w:rPr>
        <w:t xml:space="preserve"> la</w:t>
      </w:r>
      <w:r>
        <w:rPr>
          <w:u w:val="none"/>
        </w:rPr>
        <w:t xml:space="preserve"> </w:t>
      </w:r>
      <w:r w:rsidR="007F4A9E">
        <w:rPr>
          <w:u w:val="none"/>
        </w:rPr>
        <w:t>R</w:t>
      </w:r>
      <w:r>
        <w:rPr>
          <w:u w:val="none"/>
        </w:rPr>
        <w:t>ésolution de la Conférence générale de l</w:t>
      </w:r>
      <w:r w:rsidR="00DC76D8">
        <w:rPr>
          <w:u w:val="none"/>
        </w:rPr>
        <w:t>’</w:t>
      </w:r>
      <w:r>
        <w:rPr>
          <w:u w:val="none"/>
        </w:rPr>
        <w:t xml:space="preserve">UNESCO portant </w:t>
      </w:r>
      <w:r w:rsidR="001E39BE">
        <w:rPr>
          <w:u w:val="none"/>
        </w:rPr>
        <w:t xml:space="preserve">ouverture de </w:t>
      </w:r>
      <w:r>
        <w:rPr>
          <w:u w:val="none"/>
        </w:rPr>
        <w:t xml:space="preserve">crédits </w:t>
      </w:r>
      <w:r w:rsidRPr="00C913BB">
        <w:rPr>
          <w:u w:val="none"/>
        </w:rPr>
        <w:t xml:space="preserve">pour </w:t>
      </w:r>
      <w:bookmarkStart w:id="12" w:name="_Hlk150367455"/>
      <w:r w:rsidRPr="00C913BB">
        <w:rPr>
          <w:u w:val="none"/>
        </w:rPr>
        <w:t>2024-</w:t>
      </w:r>
      <w:bookmarkEnd w:id="12"/>
      <w:r w:rsidRPr="00C913BB">
        <w:rPr>
          <w:u w:val="none"/>
        </w:rPr>
        <w:t>2025</w:t>
      </w:r>
      <w:r>
        <w:rPr>
          <w:u w:val="none"/>
        </w:rPr>
        <w:t xml:space="preserve"> </w:t>
      </w:r>
      <w:r>
        <w:rPr>
          <w:color w:val="212121"/>
          <w:u w:val="none"/>
          <w:shd w:val="clear" w:color="auto" w:fill="FFFFFF"/>
        </w:rPr>
        <w:t>(</w:t>
      </w:r>
      <w:hyperlink r:id="rId55" w:history="1">
        <w:r>
          <w:rPr>
            <w:rStyle w:val="Lienhypertexte"/>
          </w:rPr>
          <w:t>42 C/Résolution</w:t>
        </w:r>
        <w:r w:rsidR="00DC76D8">
          <w:rPr>
            <w:rStyle w:val="Lienhypertexte"/>
          </w:rPr>
          <w:t> </w:t>
        </w:r>
        <w:r>
          <w:rPr>
            <w:rStyle w:val="Lienhypertexte"/>
          </w:rPr>
          <w:t>80</w:t>
        </w:r>
      </w:hyperlink>
      <w:r>
        <w:rPr>
          <w:color w:val="212121"/>
          <w:u w:val="none"/>
          <w:shd w:val="clear" w:color="auto" w:fill="FFFFFF"/>
        </w:rPr>
        <w:t>)</w:t>
      </w:r>
      <w:r w:rsidRPr="00E503E8">
        <w:rPr>
          <w:u w:val="none"/>
        </w:rPr>
        <w:t>,</w:t>
      </w:r>
    </w:p>
    <w:p w14:paraId="6ACBA10F" w14:textId="77777777" w:rsidR="00E61198" w:rsidRPr="00557EBD" w:rsidRDefault="00E61198" w:rsidP="00E61198">
      <w:pPr>
        <w:pStyle w:val="COMParaDecision"/>
        <w:keepNext/>
        <w:keepLines/>
        <w:numPr>
          <w:ilvl w:val="0"/>
          <w:numId w:val="0"/>
        </w:numPr>
        <w:ind w:left="567"/>
        <w:rPr>
          <w:b/>
          <w:bCs/>
          <w:u w:val="none"/>
        </w:rPr>
      </w:pPr>
      <w:r>
        <w:rPr>
          <w:b/>
          <w:u w:val="none"/>
        </w:rPr>
        <w:t>Situation et évolution du Fonds</w:t>
      </w:r>
    </w:p>
    <w:p w14:paraId="20EEBB4E" w14:textId="6E0F8852" w:rsidR="00E61198" w:rsidRPr="00C77B9C" w:rsidRDefault="00E61198" w:rsidP="00E61198">
      <w:pPr>
        <w:pStyle w:val="COMParaDecision"/>
        <w:ind w:left="1134" w:hanging="567"/>
      </w:pPr>
      <w:r w:rsidRPr="00C77B9C">
        <w:t>Prend note</w:t>
      </w:r>
      <w:r w:rsidRPr="00E503E8">
        <w:rPr>
          <w:u w:val="none"/>
        </w:rPr>
        <w:t xml:space="preserve"> de l</w:t>
      </w:r>
      <w:r w:rsidR="00DC76D8" w:rsidRPr="00E503E8">
        <w:rPr>
          <w:u w:val="none"/>
        </w:rPr>
        <w:t>’</w:t>
      </w:r>
      <w:r w:rsidRPr="00C77B9C">
        <w:rPr>
          <w:u w:val="none"/>
        </w:rPr>
        <w:t xml:space="preserve">état des contributions du Fonds pour 2022-2023, </w:t>
      </w:r>
      <w:r w:rsidRPr="00C77B9C">
        <w:t>rappelle</w:t>
      </w:r>
      <w:r w:rsidRPr="00C77B9C">
        <w:rPr>
          <w:u w:val="none"/>
        </w:rPr>
        <w:t xml:space="preserve"> que le paiement des contributions obligatoires et des contributions volontaires mises en recouvrement est, en vertu de l</w:t>
      </w:r>
      <w:r w:rsidR="00DC76D8" w:rsidRPr="00C77B9C">
        <w:rPr>
          <w:u w:val="none"/>
        </w:rPr>
        <w:t>’</w:t>
      </w:r>
      <w:r w:rsidRPr="00C77B9C">
        <w:rPr>
          <w:u w:val="none"/>
        </w:rPr>
        <w:t>article</w:t>
      </w:r>
      <w:r w:rsidR="00DC76D8" w:rsidRPr="00C77B9C">
        <w:rPr>
          <w:u w:val="none"/>
        </w:rPr>
        <w:t> </w:t>
      </w:r>
      <w:r w:rsidRPr="00C77B9C">
        <w:rPr>
          <w:u w:val="none"/>
        </w:rPr>
        <w:t xml:space="preserve">26 de la Convention, une obligation qui incombe à tous les États parties qui ont ratifié la Convention, et </w:t>
      </w:r>
      <w:r w:rsidRPr="00C77B9C">
        <w:t>demande à</w:t>
      </w:r>
      <w:r w:rsidRPr="00C77B9C">
        <w:rPr>
          <w:u w:val="none"/>
        </w:rPr>
        <w:t xml:space="preserve"> tous les États parties qui n</w:t>
      </w:r>
      <w:r w:rsidR="00DC76D8" w:rsidRPr="00C77B9C">
        <w:rPr>
          <w:u w:val="none"/>
        </w:rPr>
        <w:t>’</w:t>
      </w:r>
      <w:r w:rsidRPr="00C77B9C">
        <w:rPr>
          <w:u w:val="none"/>
        </w:rPr>
        <w:t xml:space="preserve">ont pas encore </w:t>
      </w:r>
      <w:r w:rsidR="00333F6C" w:rsidRPr="00C77B9C">
        <w:rPr>
          <w:u w:val="none"/>
        </w:rPr>
        <w:t xml:space="preserve">réglé </w:t>
      </w:r>
      <w:r w:rsidRPr="00C77B9C">
        <w:rPr>
          <w:u w:val="none"/>
        </w:rPr>
        <w:t xml:space="preserve">la totalité de leurs contributions, y compris les contributions volontaires mises en recouvrement, </w:t>
      </w:r>
      <w:r w:rsidR="00333F6C" w:rsidRPr="00E503E8">
        <w:rPr>
          <w:u w:val="none"/>
        </w:rPr>
        <w:t xml:space="preserve">à s’assurer </w:t>
      </w:r>
      <w:r w:rsidR="00C77B9C" w:rsidRPr="00E503E8">
        <w:rPr>
          <w:u w:val="none"/>
        </w:rPr>
        <w:t xml:space="preserve">que </w:t>
      </w:r>
      <w:r w:rsidRPr="00C77B9C">
        <w:rPr>
          <w:u w:val="none"/>
        </w:rPr>
        <w:t>leurs contributions</w:t>
      </w:r>
      <w:r w:rsidR="00DC76D8" w:rsidRPr="00C77B9C">
        <w:rPr>
          <w:u w:val="none"/>
        </w:rPr>
        <w:t xml:space="preserve"> </w:t>
      </w:r>
      <w:r w:rsidR="00C77B9C" w:rsidRPr="00E503E8">
        <w:rPr>
          <w:u w:val="none"/>
        </w:rPr>
        <w:t xml:space="preserve">soient payées </w:t>
      </w:r>
      <w:r w:rsidR="00333F6C" w:rsidRPr="00E503E8">
        <w:rPr>
          <w:u w:val="none"/>
        </w:rPr>
        <w:t>le plus tôt possible</w:t>
      </w:r>
      <w:r w:rsidR="00DC76D8" w:rsidRPr="00E503E8">
        <w:rPr>
          <w:u w:val="none"/>
        </w:rPr>
        <w:t> </w:t>
      </w:r>
      <w:r w:rsidRPr="00E503E8">
        <w:rPr>
          <w:u w:val="none"/>
        </w:rPr>
        <w:t>;</w:t>
      </w:r>
      <w:r w:rsidRPr="00C77B9C">
        <w:rPr>
          <w:u w:val="none"/>
        </w:rPr>
        <w:t xml:space="preserve"> </w:t>
      </w:r>
    </w:p>
    <w:p w14:paraId="019466BF" w14:textId="0E172BEB" w:rsidR="00E61198" w:rsidRPr="006055D9" w:rsidRDefault="00E61198" w:rsidP="00E61198">
      <w:pPr>
        <w:pStyle w:val="COMParaDecision"/>
        <w:ind w:left="1134" w:hanging="567"/>
        <w:rPr>
          <w:u w:val="none"/>
        </w:rPr>
      </w:pPr>
      <w:r>
        <w:t>Prend en outre note</w:t>
      </w:r>
      <w:r>
        <w:rPr>
          <w:u w:val="none"/>
        </w:rPr>
        <w:t xml:space="preserve"> des donateurs qui ont </w:t>
      </w:r>
      <w:r w:rsidR="001E39BE">
        <w:rPr>
          <w:u w:val="none"/>
        </w:rPr>
        <w:t xml:space="preserve">versé </w:t>
      </w:r>
      <w:r>
        <w:rPr>
          <w:u w:val="none"/>
        </w:rPr>
        <w:t>au cours de l</w:t>
      </w:r>
      <w:r w:rsidR="00DC76D8">
        <w:rPr>
          <w:u w:val="none"/>
        </w:rPr>
        <w:t>’</w:t>
      </w:r>
      <w:r>
        <w:rPr>
          <w:u w:val="none"/>
        </w:rPr>
        <w:t>exercice biennal</w:t>
      </w:r>
      <w:r w:rsidR="00DC76D8">
        <w:rPr>
          <w:u w:val="none"/>
        </w:rPr>
        <w:t> </w:t>
      </w:r>
      <w:r>
        <w:rPr>
          <w:u w:val="none"/>
        </w:rPr>
        <w:t>2022-2023 (a) des contributions volontaires supplémentaires pour des activités spécifiques approuvées par le Comité, à savoir les Pays-Bas et le Centre international d</w:t>
      </w:r>
      <w:r w:rsidR="00DC76D8">
        <w:rPr>
          <w:u w:val="none"/>
        </w:rPr>
        <w:t>’</w:t>
      </w:r>
      <w:r>
        <w:rPr>
          <w:u w:val="none"/>
        </w:rPr>
        <w:t xml:space="preserve">information et de mise en réseau pour le patrimoine culturel immatériel dans la région Asie-Pacifique (ICHCAP), ainsi que (b) des contributions volontaires supplémentaires au </w:t>
      </w:r>
      <w:r w:rsidR="002B40DB">
        <w:rPr>
          <w:u w:val="none"/>
        </w:rPr>
        <w:t>s</w:t>
      </w:r>
      <w:r>
        <w:rPr>
          <w:u w:val="none"/>
        </w:rPr>
        <w:t>ous-fonds pour le renforcement des capacités humaines du Secrétariat, à savoir la France, la Lituanie, Monaco, la Slovaquie et la Slovénie</w:t>
      </w:r>
      <w:r w:rsidR="00DC76D8" w:rsidRPr="00E503E8">
        <w:rPr>
          <w:u w:val="none"/>
        </w:rPr>
        <w:t> </w:t>
      </w:r>
      <w:r w:rsidRPr="00E503E8">
        <w:rPr>
          <w:u w:val="none"/>
        </w:rPr>
        <w:t>;</w:t>
      </w:r>
    </w:p>
    <w:p w14:paraId="353664D6" w14:textId="29FCA08D" w:rsidR="00E61198" w:rsidRPr="00C77B9C" w:rsidRDefault="00E61198" w:rsidP="00E61198">
      <w:pPr>
        <w:pStyle w:val="COMParaDecision"/>
        <w:ind w:left="1134" w:hanging="567"/>
      </w:pPr>
      <w:r w:rsidRPr="00C77B9C">
        <w:t>Remercie</w:t>
      </w:r>
      <w:r w:rsidRPr="00C77B9C">
        <w:rPr>
          <w:u w:val="none"/>
        </w:rPr>
        <w:t xml:space="preserve"> tous les contributeurs qui ont soutenu la Convention et son Secrétariat, depuis sa dernière session, par différentes formes de soutien, financier ou en nature, telles que les contributions volontaires supplémentaires au Fonds du patrimoine culturel immatériel, y compris le sous-fonds pour le renforcement des capacités humaines du Secrétariat, les fonds-en-dépôt, ou le personnel </w:t>
      </w:r>
      <w:r w:rsidR="002B40DB" w:rsidRPr="00C77B9C">
        <w:rPr>
          <w:u w:val="none"/>
        </w:rPr>
        <w:t>détaché</w:t>
      </w:r>
      <w:r w:rsidRPr="00C77B9C">
        <w:rPr>
          <w:u w:val="none"/>
        </w:rPr>
        <w:t xml:space="preserve">, et </w:t>
      </w:r>
      <w:r w:rsidRPr="00C77B9C">
        <w:t>encourage</w:t>
      </w:r>
      <w:r w:rsidRPr="00E503E8">
        <w:rPr>
          <w:u w:val="none"/>
        </w:rPr>
        <w:t xml:space="preserve"> les</w:t>
      </w:r>
      <w:r w:rsidRPr="00C77B9C">
        <w:rPr>
          <w:u w:val="none"/>
        </w:rPr>
        <w:t xml:space="preserve"> contributeurs potentiels à envisager la possibilité de soutenir la Convention par le biais de la modalité de leur choix</w:t>
      </w:r>
      <w:r w:rsidR="00DC76D8" w:rsidRPr="00E503E8">
        <w:rPr>
          <w:u w:val="none"/>
        </w:rPr>
        <w:t> </w:t>
      </w:r>
      <w:r w:rsidRPr="00E503E8">
        <w:rPr>
          <w:u w:val="none"/>
        </w:rPr>
        <w:t>;</w:t>
      </w:r>
    </w:p>
    <w:p w14:paraId="02C7291C" w14:textId="5A20521F" w:rsidR="00E61198" w:rsidRPr="00557EBD" w:rsidRDefault="00E61198" w:rsidP="00E61198">
      <w:pPr>
        <w:pStyle w:val="COMParaDecision"/>
        <w:ind w:left="1134" w:hanging="567"/>
      </w:pPr>
      <w:r>
        <w:t>Réaffirme</w:t>
      </w:r>
      <w:r w:rsidRPr="00E503E8">
        <w:rPr>
          <w:u w:val="none"/>
        </w:rPr>
        <w:t xml:space="preserve"> la</w:t>
      </w:r>
      <w:r>
        <w:rPr>
          <w:u w:val="none"/>
        </w:rPr>
        <w:t xml:space="preserve"> nécessité de renforcer durablement les ressources humaines du Secrétariat pour lui permettre de mieux répondre aux besoins des États parties et </w:t>
      </w:r>
      <w:r>
        <w:t>invite</w:t>
      </w:r>
      <w:r w:rsidRPr="00E503E8">
        <w:rPr>
          <w:u w:val="none"/>
        </w:rPr>
        <w:t xml:space="preserve"> les</w:t>
      </w:r>
      <w:r>
        <w:rPr>
          <w:u w:val="none"/>
        </w:rPr>
        <w:t xml:space="preserve"> États parties à verser des contributions volontaires supplémentaires au sous-fonds pour renforcer </w:t>
      </w:r>
      <w:r w:rsidR="002B40DB">
        <w:rPr>
          <w:u w:val="none"/>
        </w:rPr>
        <w:t xml:space="preserve">des capacités </w:t>
      </w:r>
      <w:r>
        <w:rPr>
          <w:u w:val="none"/>
        </w:rPr>
        <w:t>humaines du Secrétaria</w:t>
      </w:r>
      <w:r w:rsidRPr="006055D9">
        <w:rPr>
          <w:u w:val="none"/>
        </w:rPr>
        <w:t>t</w:t>
      </w:r>
      <w:r w:rsidR="00DC76D8" w:rsidRPr="00E503E8">
        <w:rPr>
          <w:u w:val="none"/>
        </w:rPr>
        <w:t> </w:t>
      </w:r>
      <w:r w:rsidRPr="00E503E8">
        <w:rPr>
          <w:u w:val="none"/>
        </w:rPr>
        <w:t>;</w:t>
      </w:r>
    </w:p>
    <w:p w14:paraId="2D80BB1A" w14:textId="6D9C76F6" w:rsidR="00E61198" w:rsidRPr="00557EBD" w:rsidRDefault="00E61198" w:rsidP="00E61198">
      <w:pPr>
        <w:pStyle w:val="COMParaDecision"/>
        <w:keepNext/>
        <w:keepLines/>
        <w:numPr>
          <w:ilvl w:val="0"/>
          <w:numId w:val="0"/>
        </w:numPr>
        <w:ind w:left="567"/>
        <w:rPr>
          <w:b/>
          <w:bCs/>
          <w:u w:val="none"/>
        </w:rPr>
      </w:pPr>
      <w:r w:rsidRPr="00C77B9C">
        <w:rPr>
          <w:b/>
          <w:u w:val="none"/>
        </w:rPr>
        <w:t>Plan relatif à l</w:t>
      </w:r>
      <w:r w:rsidR="00DC76D8" w:rsidRPr="00C77B9C">
        <w:rPr>
          <w:b/>
          <w:u w:val="none"/>
        </w:rPr>
        <w:t>’</w:t>
      </w:r>
      <w:r w:rsidRPr="00C77B9C">
        <w:rPr>
          <w:b/>
          <w:u w:val="none"/>
        </w:rPr>
        <w:t>utilisation des ressources du Fonds</w:t>
      </w:r>
    </w:p>
    <w:p w14:paraId="3E969ED0" w14:textId="5AF610AA" w:rsidR="00E61198" w:rsidRPr="006055D9" w:rsidRDefault="00E61198" w:rsidP="00E937BA">
      <w:pPr>
        <w:pStyle w:val="COMParaDecision"/>
        <w:ind w:left="1134" w:hanging="567"/>
        <w:rPr>
          <w:u w:val="none"/>
        </w:rPr>
      </w:pPr>
      <w:r>
        <w:t>Approuve</w:t>
      </w:r>
      <w:r>
        <w:rPr>
          <w:u w:val="none"/>
        </w:rPr>
        <w:t xml:space="preserve"> le plan d</w:t>
      </w:r>
      <w:r w:rsidR="00DC76D8">
        <w:rPr>
          <w:u w:val="none"/>
        </w:rPr>
        <w:t>’</w:t>
      </w:r>
      <w:r>
        <w:rPr>
          <w:u w:val="none"/>
        </w:rPr>
        <w:t>utilisation des ressources du Fonds pour la période allant du 1er</w:t>
      </w:r>
      <w:r w:rsidR="00DC76D8">
        <w:rPr>
          <w:u w:val="none"/>
        </w:rPr>
        <w:t> </w:t>
      </w:r>
      <w:r>
        <w:rPr>
          <w:u w:val="none"/>
        </w:rPr>
        <w:t>janvier 2024 au 31</w:t>
      </w:r>
      <w:r w:rsidR="00DC76D8">
        <w:rPr>
          <w:u w:val="none"/>
        </w:rPr>
        <w:t> </w:t>
      </w:r>
      <w:r>
        <w:rPr>
          <w:u w:val="none"/>
        </w:rPr>
        <w:t>décembre 2025 ainsi que pour la période allant du 1er</w:t>
      </w:r>
      <w:r w:rsidR="00DC76D8">
        <w:rPr>
          <w:u w:val="none"/>
        </w:rPr>
        <w:t> </w:t>
      </w:r>
      <w:r>
        <w:rPr>
          <w:u w:val="none"/>
        </w:rPr>
        <w:t>janvier</w:t>
      </w:r>
      <w:r w:rsidR="002B40DB">
        <w:rPr>
          <w:u w:val="none"/>
        </w:rPr>
        <w:t> </w:t>
      </w:r>
      <w:r>
        <w:rPr>
          <w:u w:val="none"/>
        </w:rPr>
        <w:t>2026 au 30</w:t>
      </w:r>
      <w:r w:rsidR="00DC76D8">
        <w:rPr>
          <w:u w:val="none"/>
        </w:rPr>
        <w:t> </w:t>
      </w:r>
      <w:r>
        <w:rPr>
          <w:u w:val="none"/>
        </w:rPr>
        <w:t>juin 2026 dans l</w:t>
      </w:r>
      <w:r w:rsidR="00DC76D8">
        <w:rPr>
          <w:u w:val="none"/>
        </w:rPr>
        <w:t>’</w:t>
      </w:r>
      <w:r>
        <w:rPr>
          <w:u w:val="none"/>
        </w:rPr>
        <w:t xml:space="preserve">annexe à la présente </w:t>
      </w:r>
      <w:r w:rsidR="002B40DB">
        <w:rPr>
          <w:u w:val="none"/>
        </w:rPr>
        <w:t>R</w:t>
      </w:r>
      <w:r w:rsidRPr="006055D9">
        <w:rPr>
          <w:u w:val="none"/>
        </w:rPr>
        <w:t>ésolution</w:t>
      </w:r>
      <w:r w:rsidR="00DC76D8" w:rsidRPr="00E503E8">
        <w:rPr>
          <w:u w:val="none"/>
        </w:rPr>
        <w:t> </w:t>
      </w:r>
      <w:r w:rsidRPr="00E503E8">
        <w:rPr>
          <w:u w:val="none"/>
        </w:rPr>
        <w:t>;</w:t>
      </w:r>
    </w:p>
    <w:p w14:paraId="335779E7" w14:textId="008D371A" w:rsidR="00E61198" w:rsidRPr="000E7BA6" w:rsidRDefault="00E61198" w:rsidP="00E937BA">
      <w:pPr>
        <w:pStyle w:val="COMParaDecision"/>
        <w:ind w:left="1134" w:hanging="567"/>
        <w:rPr>
          <w:u w:val="none"/>
        </w:rPr>
      </w:pPr>
      <w:r>
        <w:t>Comprend</w:t>
      </w:r>
      <w:r w:rsidRPr="00E503E8">
        <w:rPr>
          <w:u w:val="none"/>
        </w:rPr>
        <w:t xml:space="preserve"> que, lors de</w:t>
      </w:r>
      <w:r>
        <w:rPr>
          <w:u w:val="none"/>
        </w:rPr>
        <w:t xml:space="preserve"> sa onzième session en 2026, elle pourra réajuster le plan budgétaire du 1er</w:t>
      </w:r>
      <w:r w:rsidR="00DC76D8">
        <w:rPr>
          <w:u w:val="none"/>
        </w:rPr>
        <w:t> </w:t>
      </w:r>
      <w:r>
        <w:rPr>
          <w:u w:val="none"/>
        </w:rPr>
        <w:t>janvier 2026 au 30</w:t>
      </w:r>
      <w:r w:rsidR="00DC76D8">
        <w:rPr>
          <w:u w:val="none"/>
        </w:rPr>
        <w:t> </w:t>
      </w:r>
      <w:r>
        <w:rPr>
          <w:u w:val="none"/>
        </w:rPr>
        <w:t>juin 2026</w:t>
      </w:r>
      <w:r w:rsidR="00DC76D8">
        <w:rPr>
          <w:u w:val="none"/>
        </w:rPr>
        <w:t> </w:t>
      </w:r>
      <w:r>
        <w:rPr>
          <w:u w:val="none"/>
        </w:rPr>
        <w:t>; si l</w:t>
      </w:r>
      <w:r w:rsidR="00DC76D8">
        <w:rPr>
          <w:u w:val="none"/>
        </w:rPr>
        <w:t>’</w:t>
      </w:r>
      <w:r>
        <w:rPr>
          <w:u w:val="none"/>
        </w:rPr>
        <w:t>Assemblée générale n</w:t>
      </w:r>
      <w:r w:rsidR="00DC76D8">
        <w:rPr>
          <w:u w:val="none"/>
        </w:rPr>
        <w:t>’</w:t>
      </w:r>
      <w:r>
        <w:rPr>
          <w:u w:val="none"/>
        </w:rPr>
        <w:t>est pas en mesure de se réunir avant le 30</w:t>
      </w:r>
      <w:r w:rsidR="00DC76D8">
        <w:rPr>
          <w:u w:val="none"/>
        </w:rPr>
        <w:t> </w:t>
      </w:r>
      <w:r>
        <w:rPr>
          <w:u w:val="none"/>
        </w:rPr>
        <w:t>juin 2026, le Secrétariat est autorisé à poursuivre ses activités jusqu</w:t>
      </w:r>
      <w:r w:rsidR="00DC76D8">
        <w:rPr>
          <w:u w:val="none"/>
        </w:rPr>
        <w:t>’</w:t>
      </w:r>
      <w:r>
        <w:rPr>
          <w:u w:val="none"/>
        </w:rPr>
        <w:t>à ce que l</w:t>
      </w:r>
      <w:r w:rsidR="00DC76D8">
        <w:rPr>
          <w:u w:val="none"/>
        </w:rPr>
        <w:t>’</w:t>
      </w:r>
      <w:r>
        <w:rPr>
          <w:u w:val="none"/>
        </w:rPr>
        <w:t xml:space="preserve">Assemblée générale soit en mesure de se </w:t>
      </w:r>
      <w:r w:rsidRPr="006055D9">
        <w:rPr>
          <w:u w:val="none"/>
        </w:rPr>
        <w:t>réunir</w:t>
      </w:r>
      <w:r w:rsidR="00DC76D8" w:rsidRPr="00E503E8">
        <w:rPr>
          <w:u w:val="none"/>
        </w:rPr>
        <w:t> </w:t>
      </w:r>
      <w:r w:rsidRPr="00E503E8">
        <w:rPr>
          <w:u w:val="none"/>
        </w:rPr>
        <w:t>;</w:t>
      </w:r>
    </w:p>
    <w:p w14:paraId="3DEC571A" w14:textId="2CEA1F8D" w:rsidR="00E61198" w:rsidRPr="000E7BA6" w:rsidRDefault="009D3A5F" w:rsidP="00E61198">
      <w:pPr>
        <w:pStyle w:val="COMParaDecision"/>
        <w:ind w:left="1134" w:hanging="567"/>
        <w:rPr>
          <w:u w:val="none"/>
        </w:rPr>
      </w:pPr>
      <w:r>
        <w:t>Prend également note</w:t>
      </w:r>
      <w:r>
        <w:rPr>
          <w:u w:val="none"/>
        </w:rPr>
        <w:t xml:space="preserve"> de l</w:t>
      </w:r>
      <w:r w:rsidR="00DC76D8">
        <w:rPr>
          <w:u w:val="none"/>
        </w:rPr>
        <w:t>’</w:t>
      </w:r>
      <w:r>
        <w:rPr>
          <w:u w:val="none"/>
        </w:rPr>
        <w:t>autorisation accordée par le Comité au Secrétariat d</w:t>
      </w:r>
      <w:r w:rsidR="00DC76D8">
        <w:rPr>
          <w:u w:val="none"/>
        </w:rPr>
        <w:t>’</w:t>
      </w:r>
      <w:r>
        <w:rPr>
          <w:u w:val="none"/>
        </w:rPr>
        <w:t>utiliser, à titre expérimental, un montant ne dépassant pas 10</w:t>
      </w:r>
      <w:r w:rsidR="00DC76D8">
        <w:rPr>
          <w:u w:val="none"/>
        </w:rPr>
        <w:t> </w:t>
      </w:r>
      <w:r w:rsidR="001E39BE">
        <w:rPr>
          <w:u w:val="none"/>
        </w:rPr>
        <w:t>pour</w:t>
      </w:r>
      <w:r w:rsidR="002B40DB">
        <w:rPr>
          <w:u w:val="none"/>
        </w:rPr>
        <w:t xml:space="preserve"> </w:t>
      </w:r>
      <w:r w:rsidR="001E39BE">
        <w:rPr>
          <w:u w:val="none"/>
        </w:rPr>
        <w:t xml:space="preserve">cent </w:t>
      </w:r>
      <w:r>
        <w:rPr>
          <w:u w:val="none"/>
        </w:rPr>
        <w:t>du budget approuvé de chaque projet d</w:t>
      </w:r>
      <w:r w:rsidR="00DC76D8">
        <w:rPr>
          <w:u w:val="none"/>
        </w:rPr>
        <w:t>’</w:t>
      </w:r>
      <w:r>
        <w:rPr>
          <w:u w:val="none"/>
        </w:rPr>
        <w:t>assistance internationale, en plus du montant accordé par le Comité ou son Bureau pour chaque projet, afin de suivre et d</w:t>
      </w:r>
      <w:r w:rsidR="00DC76D8">
        <w:rPr>
          <w:u w:val="none"/>
        </w:rPr>
        <w:t>’</w:t>
      </w:r>
      <w:r>
        <w:rPr>
          <w:u w:val="none"/>
        </w:rPr>
        <w:t>évaluer l</w:t>
      </w:r>
      <w:r w:rsidR="00DC76D8">
        <w:rPr>
          <w:u w:val="none"/>
        </w:rPr>
        <w:t>’</w:t>
      </w:r>
      <w:r>
        <w:rPr>
          <w:u w:val="none"/>
        </w:rPr>
        <w:t xml:space="preserve">impact des projets soutenus par le </w:t>
      </w:r>
      <w:r w:rsidRPr="006055D9">
        <w:rPr>
          <w:u w:val="none"/>
        </w:rPr>
        <w:t>Fonds</w:t>
      </w:r>
      <w:r w:rsidR="00DC76D8" w:rsidRPr="00E503E8">
        <w:rPr>
          <w:u w:val="none"/>
        </w:rPr>
        <w:t> </w:t>
      </w:r>
      <w:r w:rsidRPr="00E503E8">
        <w:rPr>
          <w:u w:val="none"/>
        </w:rPr>
        <w:t>;</w:t>
      </w:r>
    </w:p>
    <w:p w14:paraId="2ED66586" w14:textId="3F3F1EE8" w:rsidR="00E61198" w:rsidRPr="001478D5" w:rsidRDefault="00E61198" w:rsidP="00E61198">
      <w:pPr>
        <w:pStyle w:val="COMParaDecision"/>
        <w:ind w:left="1134" w:hanging="567"/>
        <w:rPr>
          <w:u w:val="none"/>
        </w:rPr>
      </w:pPr>
      <w:r>
        <w:lastRenderedPageBreak/>
        <w:t>Se félicite en outre</w:t>
      </w:r>
      <w:r w:rsidRPr="00E503E8">
        <w:rPr>
          <w:u w:val="none"/>
        </w:rPr>
        <w:t xml:space="preserve"> des</w:t>
      </w:r>
      <w:r>
        <w:rPr>
          <w:u w:val="none"/>
        </w:rPr>
        <w:t xml:space="preserve"> ajustements des </w:t>
      </w:r>
      <w:r w:rsidR="002B40DB">
        <w:rPr>
          <w:u w:val="none"/>
        </w:rPr>
        <w:t xml:space="preserve">allocations </w:t>
      </w:r>
      <w:r>
        <w:rPr>
          <w:u w:val="none"/>
        </w:rPr>
        <w:t>prévu</w:t>
      </w:r>
      <w:r w:rsidR="002B40DB">
        <w:rPr>
          <w:u w:val="none"/>
        </w:rPr>
        <w:t>e</w:t>
      </w:r>
      <w:r>
        <w:rPr>
          <w:u w:val="none"/>
        </w:rPr>
        <w:t>s pour rendre opérationnels les résultats de la réflexion globale sur les mécanismes d</w:t>
      </w:r>
      <w:r w:rsidR="00DC76D8">
        <w:rPr>
          <w:u w:val="none"/>
        </w:rPr>
        <w:t>’</w:t>
      </w:r>
      <w:r>
        <w:rPr>
          <w:u w:val="none"/>
        </w:rPr>
        <w:t xml:space="preserve">inscription sur </w:t>
      </w:r>
      <w:r w:rsidR="002B40DB">
        <w:rPr>
          <w:u w:val="none"/>
        </w:rPr>
        <w:t xml:space="preserve">les </w:t>
      </w:r>
      <w:r>
        <w:rPr>
          <w:u w:val="none"/>
        </w:rPr>
        <w:t>liste</w:t>
      </w:r>
      <w:r w:rsidR="002B40DB">
        <w:rPr>
          <w:u w:val="none"/>
        </w:rPr>
        <w:t>s</w:t>
      </w:r>
      <w:r>
        <w:rPr>
          <w:u w:val="none"/>
        </w:rPr>
        <w:t xml:space="preserve"> de la convention de 2003, en particulier sur une mise en œuvre plus large de l</w:t>
      </w:r>
      <w:r w:rsidR="00DC76D8">
        <w:rPr>
          <w:u w:val="none"/>
        </w:rPr>
        <w:t>’</w:t>
      </w:r>
      <w:r>
        <w:rPr>
          <w:u w:val="none"/>
        </w:rPr>
        <w:t>article</w:t>
      </w:r>
      <w:r w:rsidR="00DC76D8">
        <w:rPr>
          <w:u w:val="none"/>
        </w:rPr>
        <w:t> </w:t>
      </w:r>
      <w:r>
        <w:rPr>
          <w:u w:val="none"/>
        </w:rPr>
        <w:t>18 de la Convention</w:t>
      </w:r>
      <w:r w:rsidR="00DC76D8" w:rsidRPr="00E503E8">
        <w:rPr>
          <w:u w:val="none"/>
        </w:rPr>
        <w:t> </w:t>
      </w:r>
      <w:r w:rsidRPr="00E503E8">
        <w:rPr>
          <w:u w:val="none"/>
        </w:rPr>
        <w:t>;</w:t>
      </w:r>
      <w:r w:rsidRPr="006055D9">
        <w:rPr>
          <w:u w:val="none"/>
        </w:rPr>
        <w:t xml:space="preserve"> </w:t>
      </w:r>
    </w:p>
    <w:p w14:paraId="7201A0CA" w14:textId="31807FAF" w:rsidR="00E61198" w:rsidRPr="00557EBD" w:rsidRDefault="00E61198" w:rsidP="00E61198">
      <w:pPr>
        <w:pStyle w:val="COMParaDecision"/>
        <w:ind w:left="1134" w:hanging="567"/>
      </w:pPr>
      <w:r>
        <w:t>Prend note en outre</w:t>
      </w:r>
      <w:r>
        <w:rPr>
          <w:u w:val="none"/>
        </w:rPr>
        <w:t xml:space="preserve"> de l</w:t>
      </w:r>
      <w:r w:rsidR="00DC76D8">
        <w:rPr>
          <w:u w:val="none"/>
        </w:rPr>
        <w:t>’</w:t>
      </w:r>
      <w:r>
        <w:rPr>
          <w:u w:val="none"/>
        </w:rPr>
        <w:t>autorisation accordée par le Comité au Secrétariat, lors de l</w:t>
      </w:r>
      <w:r w:rsidR="00DC76D8">
        <w:rPr>
          <w:u w:val="none"/>
        </w:rPr>
        <w:t>’</w:t>
      </w:r>
      <w:r>
        <w:rPr>
          <w:u w:val="none"/>
        </w:rPr>
        <w:t>utilisation des fonds alloués au titre de la ligne budgétaire</w:t>
      </w:r>
      <w:r w:rsidR="00DC76D8">
        <w:rPr>
          <w:u w:val="none"/>
        </w:rPr>
        <w:t> </w:t>
      </w:r>
      <w:r>
        <w:rPr>
          <w:u w:val="none"/>
        </w:rPr>
        <w:t>3 du Plan, d</w:t>
      </w:r>
      <w:r w:rsidR="00DC76D8">
        <w:rPr>
          <w:u w:val="none"/>
        </w:rPr>
        <w:t>’</w:t>
      </w:r>
      <w:r>
        <w:rPr>
          <w:u w:val="none"/>
        </w:rPr>
        <w:t xml:space="preserve">effectuer des transferts entre les activités </w:t>
      </w:r>
      <w:r w:rsidR="001E39BE">
        <w:rPr>
          <w:u w:val="none"/>
        </w:rPr>
        <w:t xml:space="preserve">relevant </w:t>
      </w:r>
      <w:r>
        <w:rPr>
          <w:u w:val="none"/>
        </w:rPr>
        <w:t>dans la ligne budgétaire</w:t>
      </w:r>
      <w:r w:rsidR="00DC76D8">
        <w:rPr>
          <w:u w:val="none"/>
        </w:rPr>
        <w:t> </w:t>
      </w:r>
      <w:r>
        <w:rPr>
          <w:u w:val="none"/>
        </w:rPr>
        <w:t>3 jusqu</w:t>
      </w:r>
      <w:r w:rsidR="00DC76D8">
        <w:rPr>
          <w:u w:val="none"/>
        </w:rPr>
        <w:t>’</w:t>
      </w:r>
      <w:r>
        <w:rPr>
          <w:u w:val="none"/>
        </w:rPr>
        <w:t>à un montant cumulé équivalant à 5</w:t>
      </w:r>
      <w:r w:rsidR="00DC76D8">
        <w:rPr>
          <w:u w:val="none"/>
        </w:rPr>
        <w:t> </w:t>
      </w:r>
      <w:r w:rsidR="001E39BE">
        <w:rPr>
          <w:u w:val="none"/>
        </w:rPr>
        <w:t xml:space="preserve">pour cent </w:t>
      </w:r>
      <w:r>
        <w:rPr>
          <w:u w:val="none"/>
        </w:rPr>
        <w:t>de l</w:t>
      </w:r>
      <w:r w:rsidR="00DC76D8">
        <w:rPr>
          <w:u w:val="none"/>
        </w:rPr>
        <w:t>’</w:t>
      </w:r>
      <w:r>
        <w:rPr>
          <w:u w:val="none"/>
        </w:rPr>
        <w:t>allocation totale initiale proposée à l</w:t>
      </w:r>
      <w:r w:rsidR="00DC76D8">
        <w:rPr>
          <w:u w:val="none"/>
        </w:rPr>
        <w:t>’</w:t>
      </w:r>
      <w:r>
        <w:rPr>
          <w:u w:val="none"/>
        </w:rPr>
        <w:t xml:space="preserve">Assemblée générale à </w:t>
      </w:r>
      <w:r w:rsidRPr="006055D9">
        <w:rPr>
          <w:u w:val="none"/>
        </w:rPr>
        <w:t>cette fin</w:t>
      </w:r>
      <w:r w:rsidR="00DC76D8" w:rsidRPr="00E503E8">
        <w:rPr>
          <w:u w:val="none"/>
        </w:rPr>
        <w:t> </w:t>
      </w:r>
      <w:r w:rsidRPr="00E503E8">
        <w:rPr>
          <w:u w:val="none"/>
        </w:rPr>
        <w:t>;</w:t>
      </w:r>
    </w:p>
    <w:p w14:paraId="438260CA" w14:textId="3FBC29B8" w:rsidR="00E61198" w:rsidRPr="00557EBD" w:rsidRDefault="00E61198" w:rsidP="00E61198">
      <w:pPr>
        <w:pStyle w:val="COMParaDecision"/>
        <w:ind w:left="1134" w:hanging="567"/>
        <w:rPr>
          <w:u w:val="none"/>
        </w:rPr>
      </w:pPr>
      <w:r>
        <w:t>Autorise</w:t>
      </w:r>
      <w:r w:rsidRPr="00E503E8">
        <w:rPr>
          <w:u w:val="none"/>
        </w:rPr>
        <w:t xml:space="preserve"> le</w:t>
      </w:r>
      <w:r>
        <w:rPr>
          <w:u w:val="none"/>
        </w:rPr>
        <w:t xml:space="preserve"> Comité à utiliser immédiatement </w:t>
      </w:r>
      <w:r w:rsidR="001E39BE">
        <w:rPr>
          <w:u w:val="none"/>
        </w:rPr>
        <w:t xml:space="preserve">toutes </w:t>
      </w:r>
      <w:r w:rsidR="002B40DB">
        <w:rPr>
          <w:u w:val="none"/>
        </w:rPr>
        <w:t xml:space="preserve">les </w:t>
      </w:r>
      <w:r>
        <w:rPr>
          <w:u w:val="none"/>
        </w:rPr>
        <w:t xml:space="preserve">contributions volontaires supplémentaires qui pourraient être reçues au cours de ces périodes, telles que </w:t>
      </w:r>
      <w:r w:rsidR="001E39BE">
        <w:rPr>
          <w:u w:val="none"/>
        </w:rPr>
        <w:t xml:space="preserve">le prévoit </w:t>
      </w:r>
      <w:r>
        <w:rPr>
          <w:u w:val="none"/>
        </w:rPr>
        <w:t>l</w:t>
      </w:r>
      <w:r w:rsidR="00DC76D8">
        <w:rPr>
          <w:u w:val="none"/>
        </w:rPr>
        <w:t>’</w:t>
      </w:r>
      <w:r>
        <w:rPr>
          <w:u w:val="none"/>
        </w:rPr>
        <w:t>article</w:t>
      </w:r>
      <w:r w:rsidR="00DC76D8">
        <w:rPr>
          <w:u w:val="none"/>
        </w:rPr>
        <w:t> </w:t>
      </w:r>
      <w:r>
        <w:rPr>
          <w:u w:val="none"/>
        </w:rPr>
        <w:t>27 de la Convention, conformément aux pourcentages fixés dans le Pla</w:t>
      </w:r>
      <w:r w:rsidRPr="006055D9">
        <w:rPr>
          <w:u w:val="none"/>
        </w:rPr>
        <w:t>n</w:t>
      </w:r>
      <w:r w:rsidR="00DC76D8" w:rsidRPr="00E503E8">
        <w:rPr>
          <w:u w:val="none"/>
        </w:rPr>
        <w:t> </w:t>
      </w:r>
      <w:r w:rsidRPr="00E503E8">
        <w:rPr>
          <w:u w:val="none"/>
        </w:rPr>
        <w:t>;</w:t>
      </w:r>
    </w:p>
    <w:p w14:paraId="7BC80583" w14:textId="30994000" w:rsidR="00E61198" w:rsidRPr="00557EBD" w:rsidRDefault="00E61198" w:rsidP="00E61198">
      <w:pPr>
        <w:pStyle w:val="COMParaDecision"/>
        <w:ind w:left="1134" w:hanging="567"/>
        <w:rPr>
          <w:u w:val="none"/>
        </w:rPr>
      </w:pPr>
      <w:r>
        <w:t>Autorise en outre</w:t>
      </w:r>
      <w:r>
        <w:rPr>
          <w:u w:val="none"/>
        </w:rPr>
        <w:t xml:space="preserve"> le Comité à utiliser immédiatement toutes les contributions qu</w:t>
      </w:r>
      <w:r w:rsidR="00DC76D8">
        <w:rPr>
          <w:u w:val="none"/>
        </w:rPr>
        <w:t>’</w:t>
      </w:r>
      <w:r>
        <w:rPr>
          <w:u w:val="none"/>
        </w:rPr>
        <w:t xml:space="preserve">il pourrait accepter, pendant ces périodes, à des fins spécifiques liées à des projets spécifiques, à condition que ces projets aient été approuvés par le Comité avant la réception des fonds, comme </w:t>
      </w:r>
      <w:r w:rsidR="001E39BE">
        <w:rPr>
          <w:u w:val="none"/>
        </w:rPr>
        <w:t xml:space="preserve">décrit </w:t>
      </w:r>
      <w:r>
        <w:rPr>
          <w:u w:val="none"/>
        </w:rPr>
        <w:t>à l</w:t>
      </w:r>
      <w:r w:rsidR="00DC76D8">
        <w:rPr>
          <w:u w:val="none"/>
        </w:rPr>
        <w:t>’</w:t>
      </w:r>
      <w:r>
        <w:rPr>
          <w:u w:val="none"/>
        </w:rPr>
        <w:t>article</w:t>
      </w:r>
      <w:r w:rsidR="00DC76D8">
        <w:rPr>
          <w:u w:val="none"/>
        </w:rPr>
        <w:t> </w:t>
      </w:r>
      <w:r>
        <w:rPr>
          <w:u w:val="none"/>
        </w:rPr>
        <w:t>25.5 de la Convention</w:t>
      </w:r>
      <w:r w:rsidR="00DC76D8" w:rsidRPr="00E503E8">
        <w:rPr>
          <w:u w:val="none"/>
        </w:rPr>
        <w:t> </w:t>
      </w:r>
      <w:r w:rsidRPr="00E503E8">
        <w:rPr>
          <w:u w:val="none"/>
        </w:rPr>
        <w:t>;</w:t>
      </w:r>
    </w:p>
    <w:p w14:paraId="43887484" w14:textId="632B4414" w:rsidR="00E61198" w:rsidRDefault="00E61198" w:rsidP="00E61198">
      <w:pPr>
        <w:pStyle w:val="COMParaDecision"/>
        <w:ind w:left="1134" w:hanging="567"/>
        <w:rPr>
          <w:u w:val="none"/>
        </w:rPr>
      </w:pPr>
      <w:r>
        <w:t>Autorise également</w:t>
      </w:r>
      <w:r w:rsidRPr="00E503E8">
        <w:rPr>
          <w:u w:val="none"/>
        </w:rPr>
        <w:t xml:space="preserve"> le Secrétariat</w:t>
      </w:r>
      <w:r w:rsidRPr="007F4A9E">
        <w:rPr>
          <w:u w:val="none"/>
        </w:rPr>
        <w:t xml:space="preserve"> </w:t>
      </w:r>
      <w:r>
        <w:rPr>
          <w:u w:val="none"/>
        </w:rPr>
        <w:t>à effectuer des transferts entre les lignes budgétaires</w:t>
      </w:r>
      <w:r w:rsidR="00DC76D8">
        <w:rPr>
          <w:u w:val="none"/>
        </w:rPr>
        <w:t> </w:t>
      </w:r>
      <w:r>
        <w:rPr>
          <w:u w:val="none"/>
        </w:rPr>
        <w:t>4, 5, 6 et 7, jusqu</w:t>
      </w:r>
      <w:r w:rsidR="00DC76D8">
        <w:rPr>
          <w:u w:val="none"/>
        </w:rPr>
        <w:t>’</w:t>
      </w:r>
      <w:r>
        <w:rPr>
          <w:u w:val="none"/>
        </w:rPr>
        <w:t xml:space="preserve">à un </w:t>
      </w:r>
      <w:r w:rsidR="001E39BE">
        <w:rPr>
          <w:u w:val="none"/>
        </w:rPr>
        <w:t xml:space="preserve">montant </w:t>
      </w:r>
      <w:r>
        <w:rPr>
          <w:u w:val="none"/>
        </w:rPr>
        <w:t>équivalent de 30</w:t>
      </w:r>
      <w:r w:rsidR="00DC76D8">
        <w:rPr>
          <w:u w:val="none"/>
        </w:rPr>
        <w:t> </w:t>
      </w:r>
      <w:r>
        <w:rPr>
          <w:u w:val="none"/>
        </w:rPr>
        <w:t xml:space="preserve">pour cent de leur allocation totale initiale, et </w:t>
      </w:r>
      <w:r>
        <w:t>demande</w:t>
      </w:r>
      <w:r>
        <w:rPr>
          <w:u w:val="none"/>
        </w:rPr>
        <w:t xml:space="preserve"> que le Secrétariat </w:t>
      </w:r>
      <w:r w:rsidR="001E39BE">
        <w:rPr>
          <w:u w:val="none"/>
        </w:rPr>
        <w:t>d’</w:t>
      </w:r>
      <w:r>
        <w:rPr>
          <w:u w:val="none"/>
        </w:rPr>
        <w:t>informe</w:t>
      </w:r>
      <w:r w:rsidR="001E39BE">
        <w:rPr>
          <w:u w:val="none"/>
        </w:rPr>
        <w:t>r par écrit</w:t>
      </w:r>
      <w:r>
        <w:rPr>
          <w:u w:val="none"/>
        </w:rPr>
        <w:t xml:space="preserve"> le Comité et l</w:t>
      </w:r>
      <w:r w:rsidR="00DC76D8">
        <w:rPr>
          <w:u w:val="none"/>
        </w:rPr>
        <w:t>’</w:t>
      </w:r>
      <w:r>
        <w:rPr>
          <w:u w:val="none"/>
        </w:rPr>
        <w:t xml:space="preserve">Assemblée générale, lors de la session suivant cette action, des détails et des </w:t>
      </w:r>
      <w:r w:rsidR="001E39BE">
        <w:rPr>
          <w:u w:val="none"/>
        </w:rPr>
        <w:t xml:space="preserve">motifs </w:t>
      </w:r>
      <w:r>
        <w:rPr>
          <w:u w:val="none"/>
        </w:rPr>
        <w:t>de ces transferts</w:t>
      </w:r>
      <w:r w:rsidRPr="00E503E8">
        <w:rPr>
          <w:u w:val="none"/>
        </w:rPr>
        <w:t>.</w:t>
      </w:r>
    </w:p>
    <w:p w14:paraId="20BB7CB8" w14:textId="53AC54B7" w:rsidR="00863A53" w:rsidRDefault="00863A53">
      <w:pPr>
        <w:rPr>
          <w:rFonts w:ascii="Arial" w:eastAsia="SimSun" w:hAnsi="Arial" w:cs="Arial"/>
          <w:sz w:val="22"/>
          <w:szCs w:val="22"/>
        </w:rPr>
      </w:pPr>
      <w:r>
        <w:br w:type="page"/>
      </w:r>
    </w:p>
    <w:p w14:paraId="1B08DF9D" w14:textId="59BBB732" w:rsidR="00190205" w:rsidRDefault="00863A53" w:rsidP="00863A53">
      <w:pPr>
        <w:jc w:val="center"/>
        <w:rPr>
          <w:rFonts w:ascii="Arial" w:eastAsia="SimSun" w:hAnsi="Arial" w:cs="Arial"/>
          <w:b/>
          <w:bCs/>
          <w:sz w:val="22"/>
          <w:szCs w:val="22"/>
          <w:u w:val="single"/>
        </w:rPr>
      </w:pPr>
      <w:r>
        <w:rPr>
          <w:rFonts w:ascii="Arial" w:hAnsi="Arial"/>
          <w:b/>
          <w:sz w:val="22"/>
          <w:u w:val="single"/>
        </w:rPr>
        <w:lastRenderedPageBreak/>
        <w:t>ANNEXE</w:t>
      </w:r>
    </w:p>
    <w:p w14:paraId="5EA2C5ED" w14:textId="77777777" w:rsidR="00863A53" w:rsidRDefault="00863A53" w:rsidP="00863A53">
      <w:pPr>
        <w:jc w:val="center"/>
        <w:rPr>
          <w:rFonts w:ascii="Arial" w:eastAsia="SimSun" w:hAnsi="Arial" w:cs="Arial"/>
          <w:b/>
          <w:bCs/>
          <w:sz w:val="22"/>
          <w:szCs w:val="22"/>
          <w:u w:val="single"/>
          <w:lang w:val="en-GB"/>
        </w:rPr>
      </w:pPr>
    </w:p>
    <w:tbl>
      <w:tblPr>
        <w:tblW w:w="9706" w:type="dxa"/>
        <w:tblCellMar>
          <w:left w:w="70" w:type="dxa"/>
          <w:right w:w="70" w:type="dxa"/>
        </w:tblCellMar>
        <w:tblLook w:val="04A0" w:firstRow="1" w:lastRow="0" w:firstColumn="1" w:lastColumn="0" w:noHBand="0" w:noVBand="1"/>
      </w:tblPr>
      <w:tblGrid>
        <w:gridCol w:w="622"/>
        <w:gridCol w:w="3502"/>
        <w:gridCol w:w="1258"/>
        <w:gridCol w:w="1301"/>
        <w:gridCol w:w="1504"/>
        <w:gridCol w:w="1519"/>
      </w:tblGrid>
      <w:tr w:rsidR="00863A53" w:rsidRPr="00DE57E5" w14:paraId="4A780396" w14:textId="77777777" w:rsidTr="007F4A9E">
        <w:trPr>
          <w:trHeight w:val="315"/>
        </w:trPr>
        <w:tc>
          <w:tcPr>
            <w:tcW w:w="6683" w:type="dxa"/>
            <w:gridSpan w:val="4"/>
            <w:tcBorders>
              <w:top w:val="single" w:sz="8" w:space="0" w:color="auto"/>
              <w:left w:val="single" w:sz="8" w:space="0" w:color="auto"/>
              <w:bottom w:val="single" w:sz="8" w:space="0" w:color="auto"/>
              <w:right w:val="single" w:sz="8" w:space="0" w:color="000000"/>
            </w:tcBorders>
            <w:shd w:val="clear" w:color="000000" w:fill="D8D8D8"/>
            <w:vAlign w:val="center"/>
            <w:hideMark/>
          </w:tcPr>
          <w:p w14:paraId="2913A62A" w14:textId="6C64F486" w:rsidR="00863A53" w:rsidRPr="00863A53" w:rsidRDefault="00863A53">
            <w:pPr>
              <w:jc w:val="center"/>
              <w:rPr>
                <w:rFonts w:ascii="Arial" w:hAnsi="Arial" w:cs="Arial"/>
                <w:b/>
                <w:bCs/>
                <w:color w:val="000000"/>
                <w:sz w:val="18"/>
                <w:szCs w:val="18"/>
              </w:rPr>
            </w:pPr>
            <w:r>
              <w:rPr>
                <w:rFonts w:ascii="Arial" w:hAnsi="Arial"/>
                <w:b/>
                <w:color w:val="000000"/>
                <w:sz w:val="18"/>
              </w:rPr>
              <w:t>Projet de plan relatif à l</w:t>
            </w:r>
            <w:r w:rsidR="00DC76D8">
              <w:rPr>
                <w:rFonts w:ascii="Arial" w:hAnsi="Arial"/>
                <w:b/>
                <w:color w:val="000000"/>
                <w:sz w:val="18"/>
              </w:rPr>
              <w:t>’</w:t>
            </w:r>
            <w:r>
              <w:rPr>
                <w:rFonts w:ascii="Arial" w:hAnsi="Arial"/>
                <w:b/>
                <w:color w:val="000000"/>
                <w:sz w:val="18"/>
              </w:rPr>
              <w:t>utilisation des ressources du Fonds</w:t>
            </w:r>
          </w:p>
        </w:tc>
        <w:tc>
          <w:tcPr>
            <w:tcW w:w="1504" w:type="dxa"/>
            <w:tcBorders>
              <w:top w:val="dashed" w:sz="4" w:space="0" w:color="auto"/>
              <w:left w:val="nil"/>
              <w:bottom w:val="dashed" w:sz="4" w:space="0" w:color="auto"/>
              <w:right w:val="dashed" w:sz="4" w:space="0" w:color="auto"/>
            </w:tcBorders>
            <w:shd w:val="clear" w:color="auto" w:fill="auto"/>
            <w:vAlign w:val="center"/>
            <w:hideMark/>
          </w:tcPr>
          <w:p w14:paraId="71DA6B9A" w14:textId="77777777" w:rsidR="00863A53" w:rsidRPr="00863A53" w:rsidRDefault="00863A53">
            <w:pPr>
              <w:jc w:val="center"/>
              <w:rPr>
                <w:rFonts w:ascii="Arial" w:hAnsi="Arial" w:cs="Arial"/>
                <w:b/>
                <w:bCs/>
                <w:color w:val="000000"/>
                <w:sz w:val="18"/>
                <w:szCs w:val="18"/>
              </w:rPr>
            </w:pPr>
            <w:r>
              <w:rPr>
                <w:rFonts w:ascii="Arial" w:hAnsi="Arial"/>
                <w:b/>
                <w:color w:val="000000"/>
                <w:sz w:val="18"/>
              </w:rPr>
              <w:t> </w:t>
            </w:r>
          </w:p>
        </w:tc>
        <w:tc>
          <w:tcPr>
            <w:tcW w:w="1519" w:type="dxa"/>
            <w:tcBorders>
              <w:top w:val="dashed" w:sz="4" w:space="0" w:color="auto"/>
              <w:left w:val="nil"/>
              <w:bottom w:val="dashed" w:sz="4" w:space="0" w:color="auto"/>
              <w:right w:val="dashed" w:sz="4" w:space="0" w:color="auto"/>
            </w:tcBorders>
            <w:shd w:val="clear" w:color="auto" w:fill="auto"/>
            <w:noWrap/>
            <w:vAlign w:val="bottom"/>
            <w:hideMark/>
          </w:tcPr>
          <w:p w14:paraId="635EE4AF" w14:textId="77777777" w:rsidR="00863A53" w:rsidRPr="00863A53" w:rsidRDefault="00863A53">
            <w:pPr>
              <w:jc w:val="center"/>
              <w:rPr>
                <w:rFonts w:ascii="Calibri" w:hAnsi="Calibri" w:cs="Calibri"/>
                <w:color w:val="000000"/>
                <w:sz w:val="22"/>
                <w:szCs w:val="22"/>
              </w:rPr>
            </w:pPr>
            <w:r>
              <w:rPr>
                <w:rFonts w:ascii="Calibri" w:hAnsi="Calibri"/>
                <w:color w:val="000000"/>
                <w:sz w:val="22"/>
              </w:rPr>
              <w:t> </w:t>
            </w:r>
          </w:p>
        </w:tc>
      </w:tr>
      <w:tr w:rsidR="00863A53" w14:paraId="59674BF3" w14:textId="77777777" w:rsidTr="007F4A9E">
        <w:trPr>
          <w:trHeight w:val="1384"/>
        </w:trPr>
        <w:tc>
          <w:tcPr>
            <w:tcW w:w="412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792E6E8D" w14:textId="327F7560" w:rsidR="00863A53" w:rsidRPr="00863A53" w:rsidRDefault="00863A53">
            <w:pPr>
              <w:rPr>
                <w:rFonts w:ascii="Arial" w:hAnsi="Arial" w:cs="Arial"/>
                <w:color w:val="000000"/>
                <w:sz w:val="18"/>
                <w:szCs w:val="18"/>
              </w:rPr>
            </w:pPr>
            <w:r>
              <w:rPr>
                <w:rFonts w:ascii="Arial" w:hAnsi="Arial"/>
                <w:color w:val="000000"/>
                <w:sz w:val="18"/>
              </w:rPr>
              <w:t>Pour la période allant du 1er</w:t>
            </w:r>
            <w:r w:rsidR="00DC76D8">
              <w:rPr>
                <w:rFonts w:ascii="Arial" w:hAnsi="Arial"/>
                <w:color w:val="000000"/>
                <w:sz w:val="18"/>
              </w:rPr>
              <w:t> </w:t>
            </w:r>
            <w:r>
              <w:rPr>
                <w:rFonts w:ascii="Arial" w:hAnsi="Arial"/>
                <w:color w:val="000000"/>
                <w:sz w:val="18"/>
              </w:rPr>
              <w:t>janvier 2024 au 31</w:t>
            </w:r>
            <w:r w:rsidR="00DC76D8">
              <w:rPr>
                <w:rFonts w:ascii="Arial" w:hAnsi="Arial"/>
                <w:color w:val="000000"/>
                <w:sz w:val="18"/>
              </w:rPr>
              <w:t> </w:t>
            </w:r>
            <w:r>
              <w:rPr>
                <w:rFonts w:ascii="Arial" w:hAnsi="Arial"/>
                <w:color w:val="000000"/>
                <w:sz w:val="18"/>
              </w:rPr>
              <w:t>décembre 2025, ainsi que pour la période allant du 1er</w:t>
            </w:r>
            <w:r w:rsidR="00DC76D8">
              <w:rPr>
                <w:rFonts w:ascii="Arial" w:hAnsi="Arial"/>
                <w:color w:val="000000"/>
                <w:sz w:val="18"/>
              </w:rPr>
              <w:t> </w:t>
            </w:r>
            <w:r>
              <w:rPr>
                <w:rFonts w:ascii="Arial" w:hAnsi="Arial"/>
                <w:color w:val="000000"/>
                <w:sz w:val="18"/>
              </w:rPr>
              <w:t>janvier au 30</w:t>
            </w:r>
            <w:r w:rsidR="00DC76D8">
              <w:rPr>
                <w:rFonts w:ascii="Arial" w:hAnsi="Arial"/>
                <w:color w:val="000000"/>
                <w:sz w:val="18"/>
              </w:rPr>
              <w:t> </w:t>
            </w:r>
            <w:r>
              <w:rPr>
                <w:rFonts w:ascii="Arial" w:hAnsi="Arial"/>
                <w:color w:val="000000"/>
                <w:sz w:val="18"/>
              </w:rPr>
              <w:t>juin 2026, les ressources du Fonds du patrimoine culturel immatériel peuvent être utilisées aux fins suivantes</w:t>
            </w:r>
            <w:r w:rsidR="00DC76D8">
              <w:rPr>
                <w:rFonts w:ascii="Arial" w:hAnsi="Arial"/>
                <w:color w:val="000000"/>
                <w:sz w:val="18"/>
              </w:rPr>
              <w:t> </w:t>
            </w:r>
            <w:r>
              <w:rPr>
                <w:rFonts w:ascii="Arial" w:hAnsi="Arial"/>
                <w:color w:val="000000"/>
                <w:sz w:val="18"/>
              </w:rPr>
              <w:t>:</w:t>
            </w:r>
          </w:p>
        </w:tc>
        <w:tc>
          <w:tcPr>
            <w:tcW w:w="1258" w:type="dxa"/>
            <w:tcBorders>
              <w:top w:val="nil"/>
              <w:left w:val="nil"/>
              <w:bottom w:val="single" w:sz="4" w:space="0" w:color="auto"/>
              <w:right w:val="single" w:sz="4" w:space="0" w:color="auto"/>
            </w:tcBorders>
            <w:shd w:val="clear" w:color="auto" w:fill="auto"/>
            <w:vAlign w:val="center"/>
            <w:hideMark/>
          </w:tcPr>
          <w:p w14:paraId="055407FE" w14:textId="0AFAB13C" w:rsidR="00863A53" w:rsidRDefault="00863A53">
            <w:pPr>
              <w:jc w:val="center"/>
              <w:rPr>
                <w:rFonts w:ascii="Arial" w:hAnsi="Arial" w:cs="Arial"/>
                <w:color w:val="000000"/>
                <w:sz w:val="18"/>
                <w:szCs w:val="18"/>
              </w:rPr>
            </w:pPr>
            <w:r>
              <w:rPr>
                <w:rFonts w:ascii="Arial" w:hAnsi="Arial"/>
                <w:color w:val="000000"/>
                <w:sz w:val="18"/>
              </w:rPr>
              <w:t>% appliqué au cours de l</w:t>
            </w:r>
            <w:r w:rsidR="00DC76D8">
              <w:rPr>
                <w:rFonts w:ascii="Arial" w:hAnsi="Arial"/>
                <w:color w:val="000000"/>
                <w:sz w:val="18"/>
              </w:rPr>
              <w:t>’</w:t>
            </w:r>
            <w:r>
              <w:rPr>
                <w:rFonts w:ascii="Arial" w:hAnsi="Arial"/>
                <w:color w:val="000000"/>
                <w:sz w:val="18"/>
              </w:rPr>
              <w:t>exercice précédent</w:t>
            </w:r>
            <w:r>
              <w:rPr>
                <w:rFonts w:ascii="Arial" w:hAnsi="Arial"/>
                <w:color w:val="000000"/>
                <w:sz w:val="18"/>
              </w:rPr>
              <w:br/>
              <w:t>2022-2023</w:t>
            </w:r>
          </w:p>
        </w:tc>
        <w:tc>
          <w:tcPr>
            <w:tcW w:w="1301" w:type="dxa"/>
            <w:tcBorders>
              <w:top w:val="nil"/>
              <w:left w:val="nil"/>
              <w:bottom w:val="single" w:sz="4" w:space="0" w:color="auto"/>
              <w:right w:val="single" w:sz="8" w:space="0" w:color="auto"/>
            </w:tcBorders>
            <w:shd w:val="clear" w:color="auto" w:fill="auto"/>
            <w:vAlign w:val="center"/>
            <w:hideMark/>
          </w:tcPr>
          <w:p w14:paraId="03C35CFD" w14:textId="605A2E11" w:rsidR="00863A53" w:rsidRPr="00863A53" w:rsidRDefault="00863A53">
            <w:pPr>
              <w:jc w:val="center"/>
              <w:rPr>
                <w:rFonts w:ascii="Arial" w:hAnsi="Arial" w:cs="Arial"/>
                <w:color w:val="000000"/>
                <w:sz w:val="18"/>
                <w:szCs w:val="18"/>
              </w:rPr>
            </w:pPr>
            <w:r>
              <w:rPr>
                <w:rFonts w:ascii="Arial" w:hAnsi="Arial"/>
                <w:color w:val="000000"/>
                <w:sz w:val="18"/>
              </w:rPr>
              <w:t>% du montant total proposé</w:t>
            </w:r>
            <w:r w:rsidR="00DC76D8">
              <w:rPr>
                <w:rFonts w:ascii="Arial" w:hAnsi="Arial"/>
                <w:color w:val="000000"/>
                <w:sz w:val="18"/>
              </w:rPr>
              <w:t> </w:t>
            </w:r>
            <w:r>
              <w:rPr>
                <w:rFonts w:ascii="Arial" w:hAnsi="Arial"/>
                <w:color w:val="000000"/>
                <w:sz w:val="18"/>
              </w:rPr>
              <w:t>2024-2025 [1]</w:t>
            </w:r>
          </w:p>
        </w:tc>
        <w:tc>
          <w:tcPr>
            <w:tcW w:w="1504" w:type="dxa"/>
            <w:tcBorders>
              <w:top w:val="nil"/>
              <w:left w:val="nil"/>
              <w:bottom w:val="dashed" w:sz="4" w:space="0" w:color="auto"/>
              <w:right w:val="dashed" w:sz="4" w:space="0" w:color="auto"/>
            </w:tcBorders>
            <w:shd w:val="clear" w:color="auto" w:fill="auto"/>
            <w:vAlign w:val="center"/>
            <w:hideMark/>
          </w:tcPr>
          <w:p w14:paraId="78D314D9" w14:textId="201288AC" w:rsidR="00863A53" w:rsidRDefault="00863A53">
            <w:pPr>
              <w:jc w:val="center"/>
              <w:rPr>
                <w:rFonts w:ascii="Arial" w:hAnsi="Arial" w:cs="Arial"/>
                <w:color w:val="000000"/>
                <w:sz w:val="18"/>
                <w:szCs w:val="18"/>
              </w:rPr>
            </w:pPr>
            <w:r>
              <w:rPr>
                <w:rFonts w:ascii="Arial" w:hAnsi="Arial"/>
                <w:color w:val="000000"/>
                <w:sz w:val="18"/>
              </w:rPr>
              <w:t>Montants indicatifs</w:t>
            </w:r>
            <w:r>
              <w:rPr>
                <w:rFonts w:ascii="Arial" w:hAnsi="Arial"/>
                <w:color w:val="000000"/>
                <w:sz w:val="18"/>
              </w:rPr>
              <w:br/>
              <w:t>2024-2025</w:t>
            </w:r>
          </w:p>
        </w:tc>
        <w:tc>
          <w:tcPr>
            <w:tcW w:w="1519" w:type="dxa"/>
            <w:tcBorders>
              <w:top w:val="nil"/>
              <w:left w:val="nil"/>
              <w:bottom w:val="dashed" w:sz="4" w:space="0" w:color="auto"/>
              <w:right w:val="dashed" w:sz="4" w:space="0" w:color="auto"/>
            </w:tcBorders>
            <w:shd w:val="clear" w:color="auto" w:fill="auto"/>
            <w:vAlign w:val="center"/>
            <w:hideMark/>
          </w:tcPr>
          <w:p w14:paraId="54D3B8D9" w14:textId="0DDF9C2C" w:rsidR="00863A53" w:rsidRDefault="00863A53">
            <w:pPr>
              <w:jc w:val="center"/>
              <w:rPr>
                <w:rFonts w:ascii="Arial" w:hAnsi="Arial" w:cs="Arial"/>
                <w:color w:val="000000"/>
                <w:sz w:val="18"/>
                <w:szCs w:val="18"/>
              </w:rPr>
            </w:pPr>
            <w:r>
              <w:rPr>
                <w:rFonts w:ascii="Arial" w:hAnsi="Arial"/>
                <w:color w:val="000000"/>
                <w:sz w:val="18"/>
              </w:rPr>
              <w:t>Montants indicatifs</w:t>
            </w:r>
            <w:r>
              <w:rPr>
                <w:rFonts w:ascii="Arial" w:hAnsi="Arial"/>
                <w:color w:val="000000"/>
                <w:sz w:val="18"/>
              </w:rPr>
              <w:br/>
            </w:r>
            <w:r w:rsidR="008A08CE">
              <w:rPr>
                <w:rFonts w:ascii="Arial" w:hAnsi="Arial"/>
                <w:color w:val="000000"/>
                <w:sz w:val="18"/>
              </w:rPr>
              <w:t>j</w:t>
            </w:r>
            <w:r>
              <w:rPr>
                <w:rFonts w:ascii="Arial" w:hAnsi="Arial"/>
                <w:color w:val="000000"/>
                <w:sz w:val="18"/>
              </w:rPr>
              <w:t>anvier-juin 2026</w:t>
            </w:r>
          </w:p>
        </w:tc>
      </w:tr>
      <w:tr w:rsidR="00863A53" w14:paraId="39735238" w14:textId="77777777" w:rsidTr="007F4A9E">
        <w:trPr>
          <w:trHeight w:val="1880"/>
        </w:trPr>
        <w:tc>
          <w:tcPr>
            <w:tcW w:w="622" w:type="dxa"/>
            <w:tcBorders>
              <w:top w:val="nil"/>
              <w:left w:val="single" w:sz="8" w:space="0" w:color="auto"/>
              <w:bottom w:val="single" w:sz="4" w:space="0" w:color="auto"/>
              <w:right w:val="single" w:sz="4" w:space="0" w:color="auto"/>
            </w:tcBorders>
            <w:shd w:val="clear" w:color="auto" w:fill="auto"/>
            <w:noWrap/>
            <w:vAlign w:val="center"/>
            <w:hideMark/>
          </w:tcPr>
          <w:p w14:paraId="6AD9916D" w14:textId="77777777" w:rsidR="00863A53" w:rsidRDefault="00863A53">
            <w:pPr>
              <w:ind w:firstLineChars="100" w:firstLine="180"/>
              <w:rPr>
                <w:rFonts w:ascii="Arial" w:hAnsi="Arial" w:cs="Arial"/>
                <w:color w:val="000000"/>
                <w:sz w:val="18"/>
                <w:szCs w:val="18"/>
              </w:rPr>
            </w:pPr>
            <w:r>
              <w:rPr>
                <w:rFonts w:ascii="Arial" w:hAnsi="Arial"/>
                <w:color w:val="000000"/>
                <w:sz w:val="18"/>
              </w:rPr>
              <w:t>1.</w:t>
            </w:r>
          </w:p>
        </w:tc>
        <w:tc>
          <w:tcPr>
            <w:tcW w:w="3502" w:type="dxa"/>
            <w:tcBorders>
              <w:top w:val="nil"/>
              <w:left w:val="nil"/>
              <w:bottom w:val="single" w:sz="4" w:space="0" w:color="auto"/>
              <w:right w:val="single" w:sz="4" w:space="0" w:color="auto"/>
            </w:tcBorders>
            <w:shd w:val="clear" w:color="auto" w:fill="auto"/>
            <w:vAlign w:val="center"/>
            <w:hideMark/>
          </w:tcPr>
          <w:p w14:paraId="37ACEEDF" w14:textId="74AF867A" w:rsidR="00863A53" w:rsidRPr="00863A53" w:rsidRDefault="007F4A9E" w:rsidP="00863A53">
            <w:pPr>
              <w:rPr>
                <w:rFonts w:ascii="Arial" w:hAnsi="Arial" w:cs="Arial"/>
                <w:color w:val="000000"/>
                <w:sz w:val="18"/>
                <w:szCs w:val="18"/>
              </w:rPr>
            </w:pPr>
            <w:r w:rsidRPr="005339C4">
              <w:rPr>
                <w:rFonts w:asciiTheme="minorBidi" w:hAnsiTheme="minorBidi" w:cstheme="minorBidi"/>
                <w:color w:val="000000"/>
                <w:sz w:val="18"/>
                <w:szCs w:val="18"/>
                <w:lang w:val="fr"/>
              </w:rPr>
              <w:t>Assistance internationale, y compris la sauvegarde du patrimoine inscrit sur la Liste du patrimoine culturel immatériel nécessitant une sauvegarde urgente, la préparation d</w:t>
            </w:r>
            <w:r>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inventaires, et l</w:t>
            </w:r>
            <w:r>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appui à d</w:t>
            </w:r>
            <w:r>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autres programmes, projets ou activités de sauvegarde, y compris le suivi et l</w:t>
            </w:r>
            <w:r>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évaluation des demandes approuvées</w:t>
            </w:r>
            <w:r w:rsidR="008A08CE">
              <w:rPr>
                <w:rFonts w:asciiTheme="minorBidi" w:hAnsiTheme="minorBidi" w:cstheme="minorBidi"/>
                <w:color w:val="000000"/>
                <w:sz w:val="18"/>
                <w:szCs w:val="18"/>
                <w:lang w:val="fr"/>
              </w:rPr>
              <w:t xml:space="preserve"> ; </w:t>
            </w:r>
          </w:p>
        </w:tc>
        <w:tc>
          <w:tcPr>
            <w:tcW w:w="1258" w:type="dxa"/>
            <w:tcBorders>
              <w:top w:val="nil"/>
              <w:left w:val="nil"/>
              <w:bottom w:val="single" w:sz="4" w:space="0" w:color="auto"/>
              <w:right w:val="single" w:sz="4" w:space="0" w:color="auto"/>
            </w:tcBorders>
            <w:shd w:val="clear" w:color="auto" w:fill="auto"/>
            <w:vAlign w:val="center"/>
            <w:hideMark/>
          </w:tcPr>
          <w:p w14:paraId="0054A6A0" w14:textId="46B02165" w:rsidR="00863A53" w:rsidRDefault="00863A53">
            <w:pPr>
              <w:jc w:val="center"/>
              <w:rPr>
                <w:rFonts w:ascii="Arial" w:hAnsi="Arial" w:cs="Arial"/>
                <w:color w:val="000000"/>
                <w:sz w:val="18"/>
                <w:szCs w:val="18"/>
              </w:rPr>
            </w:pPr>
            <w:r>
              <w:rPr>
                <w:rFonts w:ascii="Arial" w:hAnsi="Arial"/>
                <w:color w:val="000000"/>
                <w:sz w:val="18"/>
              </w:rPr>
              <w:t>50,00</w:t>
            </w:r>
            <w:r w:rsidR="00DC76D8">
              <w:rPr>
                <w:rFonts w:ascii="Arial" w:hAnsi="Arial"/>
                <w:color w:val="000000"/>
                <w:sz w:val="18"/>
              </w:rPr>
              <w:t> </w:t>
            </w:r>
            <w:r>
              <w:rPr>
                <w:rFonts w:ascii="Arial" w:hAnsi="Arial"/>
                <w:color w:val="000000"/>
                <w:sz w:val="18"/>
              </w:rPr>
              <w:t>%</w:t>
            </w:r>
          </w:p>
        </w:tc>
        <w:tc>
          <w:tcPr>
            <w:tcW w:w="1301" w:type="dxa"/>
            <w:tcBorders>
              <w:top w:val="nil"/>
              <w:left w:val="nil"/>
              <w:bottom w:val="single" w:sz="4" w:space="0" w:color="auto"/>
              <w:right w:val="single" w:sz="8" w:space="0" w:color="auto"/>
            </w:tcBorders>
            <w:shd w:val="clear" w:color="auto" w:fill="auto"/>
            <w:vAlign w:val="center"/>
            <w:hideMark/>
          </w:tcPr>
          <w:p w14:paraId="4A88F1C9" w14:textId="6DFDF6E8" w:rsidR="00863A53" w:rsidRDefault="00863A53">
            <w:pPr>
              <w:jc w:val="center"/>
              <w:rPr>
                <w:rFonts w:ascii="Arial" w:hAnsi="Arial" w:cs="Arial"/>
                <w:color w:val="000000"/>
                <w:sz w:val="18"/>
                <w:szCs w:val="18"/>
              </w:rPr>
            </w:pPr>
            <w:r>
              <w:rPr>
                <w:rFonts w:ascii="Arial" w:hAnsi="Arial"/>
                <w:color w:val="000000"/>
                <w:sz w:val="18"/>
              </w:rPr>
              <w:t>50,00</w:t>
            </w:r>
            <w:r w:rsidR="00DC76D8">
              <w:rPr>
                <w:rFonts w:ascii="Arial" w:hAnsi="Arial"/>
                <w:color w:val="000000"/>
                <w:sz w:val="18"/>
              </w:rPr>
              <w:t> </w:t>
            </w:r>
            <w:r>
              <w:rPr>
                <w:rFonts w:ascii="Arial" w:hAnsi="Arial"/>
                <w:color w:val="000000"/>
                <w:sz w:val="18"/>
              </w:rPr>
              <w:t>%</w:t>
            </w:r>
          </w:p>
        </w:tc>
        <w:tc>
          <w:tcPr>
            <w:tcW w:w="1504" w:type="dxa"/>
            <w:tcBorders>
              <w:top w:val="nil"/>
              <w:left w:val="nil"/>
              <w:bottom w:val="dashed" w:sz="4" w:space="0" w:color="auto"/>
              <w:right w:val="dashed" w:sz="4" w:space="0" w:color="auto"/>
            </w:tcBorders>
            <w:shd w:val="clear" w:color="auto" w:fill="auto"/>
            <w:vAlign w:val="center"/>
            <w:hideMark/>
          </w:tcPr>
          <w:p w14:paraId="02B08590" w14:textId="40A14682" w:rsidR="00863A53" w:rsidRDefault="00863A53">
            <w:pPr>
              <w:jc w:val="center"/>
              <w:rPr>
                <w:rFonts w:ascii="Arial" w:hAnsi="Arial" w:cs="Arial"/>
                <w:i/>
                <w:iCs/>
                <w:color w:val="000000"/>
                <w:sz w:val="18"/>
                <w:szCs w:val="18"/>
              </w:rPr>
            </w:pPr>
            <w:r>
              <w:rPr>
                <w:rFonts w:ascii="Arial" w:hAnsi="Arial"/>
                <w:i/>
                <w:color w:val="000000"/>
                <w:sz w:val="18"/>
              </w:rPr>
              <w:t>4</w:t>
            </w:r>
            <w:r w:rsidR="00DC76D8">
              <w:rPr>
                <w:rFonts w:ascii="Arial" w:hAnsi="Arial"/>
                <w:i/>
                <w:color w:val="000000"/>
                <w:sz w:val="18"/>
              </w:rPr>
              <w:t> 094 </w:t>
            </w:r>
            <w:r>
              <w:rPr>
                <w:rFonts w:ascii="Arial" w:hAnsi="Arial"/>
                <w:i/>
                <w:color w:val="000000"/>
                <w:sz w:val="18"/>
              </w:rPr>
              <w:t>789</w:t>
            </w:r>
            <w:r w:rsidR="00DC76D8">
              <w:rPr>
                <w:rFonts w:ascii="Arial" w:hAnsi="Arial"/>
                <w:i/>
                <w:color w:val="000000"/>
                <w:sz w:val="18"/>
              </w:rPr>
              <w:t> </w:t>
            </w:r>
            <w:r>
              <w:rPr>
                <w:rFonts w:ascii="Arial" w:hAnsi="Arial"/>
                <w:i/>
                <w:color w:val="000000"/>
                <w:sz w:val="18"/>
              </w:rPr>
              <w:t>$</w:t>
            </w:r>
          </w:p>
        </w:tc>
        <w:tc>
          <w:tcPr>
            <w:tcW w:w="1519" w:type="dxa"/>
            <w:tcBorders>
              <w:top w:val="nil"/>
              <w:left w:val="nil"/>
              <w:bottom w:val="dashed" w:sz="4" w:space="0" w:color="auto"/>
              <w:right w:val="dashed" w:sz="4" w:space="0" w:color="auto"/>
            </w:tcBorders>
            <w:shd w:val="clear" w:color="auto" w:fill="auto"/>
            <w:vAlign w:val="center"/>
            <w:hideMark/>
          </w:tcPr>
          <w:p w14:paraId="4900A97F" w14:textId="4A7E0313" w:rsidR="00863A53" w:rsidRDefault="00863A53">
            <w:pPr>
              <w:jc w:val="center"/>
              <w:rPr>
                <w:rFonts w:ascii="Arial" w:hAnsi="Arial" w:cs="Arial"/>
                <w:i/>
                <w:iCs/>
                <w:color w:val="000000"/>
                <w:sz w:val="18"/>
                <w:szCs w:val="18"/>
              </w:rPr>
            </w:pPr>
            <w:r>
              <w:rPr>
                <w:rFonts w:ascii="Arial" w:hAnsi="Arial"/>
                <w:i/>
                <w:color w:val="000000"/>
                <w:sz w:val="18"/>
              </w:rPr>
              <w:t>1</w:t>
            </w:r>
            <w:r w:rsidR="00DC76D8">
              <w:rPr>
                <w:rFonts w:ascii="Arial" w:hAnsi="Arial"/>
                <w:i/>
                <w:color w:val="000000"/>
                <w:sz w:val="18"/>
              </w:rPr>
              <w:t> 023 </w:t>
            </w:r>
            <w:r>
              <w:rPr>
                <w:rFonts w:ascii="Arial" w:hAnsi="Arial"/>
                <w:i/>
                <w:color w:val="000000"/>
                <w:sz w:val="18"/>
              </w:rPr>
              <w:t>697</w:t>
            </w:r>
            <w:r w:rsidR="00DC76D8">
              <w:rPr>
                <w:rFonts w:ascii="Arial" w:hAnsi="Arial"/>
                <w:i/>
                <w:color w:val="000000"/>
                <w:sz w:val="18"/>
              </w:rPr>
              <w:t> </w:t>
            </w:r>
            <w:r>
              <w:rPr>
                <w:rFonts w:ascii="Arial" w:hAnsi="Arial"/>
                <w:i/>
                <w:color w:val="000000"/>
                <w:sz w:val="18"/>
              </w:rPr>
              <w:t>$</w:t>
            </w:r>
          </w:p>
        </w:tc>
      </w:tr>
      <w:tr w:rsidR="00863A53" w14:paraId="3F5DE7CC" w14:textId="77777777" w:rsidTr="007F4A9E">
        <w:trPr>
          <w:trHeight w:val="1068"/>
        </w:trPr>
        <w:tc>
          <w:tcPr>
            <w:tcW w:w="622" w:type="dxa"/>
            <w:tcBorders>
              <w:top w:val="nil"/>
              <w:left w:val="single" w:sz="8" w:space="0" w:color="auto"/>
              <w:bottom w:val="single" w:sz="4" w:space="0" w:color="auto"/>
              <w:right w:val="single" w:sz="4" w:space="0" w:color="auto"/>
            </w:tcBorders>
            <w:shd w:val="clear" w:color="auto" w:fill="auto"/>
            <w:noWrap/>
            <w:vAlign w:val="center"/>
            <w:hideMark/>
          </w:tcPr>
          <w:p w14:paraId="1825FA19" w14:textId="0CC6FDDE" w:rsidR="00863A53" w:rsidRDefault="00863A53">
            <w:pPr>
              <w:ind w:firstLineChars="100" w:firstLine="180"/>
              <w:rPr>
                <w:rFonts w:ascii="Arial" w:hAnsi="Arial" w:cs="Arial"/>
                <w:color w:val="000000"/>
                <w:sz w:val="18"/>
                <w:szCs w:val="18"/>
              </w:rPr>
            </w:pPr>
            <w:r>
              <w:rPr>
                <w:rFonts w:ascii="Arial" w:hAnsi="Arial"/>
                <w:color w:val="000000"/>
                <w:sz w:val="18"/>
              </w:rPr>
              <w:t>1</w:t>
            </w:r>
            <w:r w:rsidR="007F4A9E">
              <w:rPr>
                <w:rFonts w:ascii="Arial" w:hAnsi="Arial"/>
                <w:color w:val="000000"/>
                <w:sz w:val="18"/>
              </w:rPr>
              <w:t>.</w:t>
            </w:r>
            <w:r>
              <w:rPr>
                <w:rFonts w:ascii="Arial" w:hAnsi="Arial"/>
                <w:color w:val="000000"/>
                <w:sz w:val="18"/>
              </w:rPr>
              <w:t>1</w:t>
            </w:r>
          </w:p>
        </w:tc>
        <w:tc>
          <w:tcPr>
            <w:tcW w:w="3502" w:type="dxa"/>
            <w:tcBorders>
              <w:top w:val="nil"/>
              <w:left w:val="nil"/>
              <w:bottom w:val="single" w:sz="4" w:space="0" w:color="auto"/>
              <w:right w:val="single" w:sz="4" w:space="0" w:color="auto"/>
            </w:tcBorders>
            <w:shd w:val="clear" w:color="auto" w:fill="auto"/>
            <w:vAlign w:val="center"/>
            <w:hideMark/>
          </w:tcPr>
          <w:p w14:paraId="03F85D10" w14:textId="5583CD60" w:rsidR="007F4A9E" w:rsidRPr="00863A53" w:rsidRDefault="007F4A9E" w:rsidP="007F4A9E">
            <w:pPr>
              <w:rPr>
                <w:rFonts w:ascii="Arial" w:hAnsi="Arial" w:cs="Arial"/>
                <w:color w:val="000000"/>
                <w:sz w:val="18"/>
                <w:szCs w:val="18"/>
              </w:rPr>
            </w:pPr>
            <w:r>
              <w:rPr>
                <w:rFonts w:ascii="Arial" w:hAnsi="Arial"/>
                <w:color w:val="000000"/>
                <w:sz w:val="18"/>
              </w:rPr>
              <w:t>R</w:t>
            </w:r>
            <w:r w:rsidR="00863A53">
              <w:rPr>
                <w:rFonts w:ascii="Arial" w:hAnsi="Arial"/>
                <w:color w:val="000000"/>
                <w:sz w:val="18"/>
              </w:rPr>
              <w:t>enforcement des ressources humaines pour améliorer la mise en œuvre des mécanismes d</w:t>
            </w:r>
            <w:r w:rsidR="00DC76D8">
              <w:rPr>
                <w:rFonts w:ascii="Arial" w:hAnsi="Arial"/>
                <w:color w:val="000000"/>
                <w:sz w:val="18"/>
              </w:rPr>
              <w:t>’</w:t>
            </w:r>
            <w:r w:rsidR="00863A53">
              <w:rPr>
                <w:rFonts w:ascii="Arial" w:hAnsi="Arial"/>
                <w:color w:val="000000"/>
                <w:sz w:val="18"/>
              </w:rPr>
              <w:t xml:space="preserve">assistance internationale </w:t>
            </w:r>
            <w:r>
              <w:rPr>
                <w:rFonts w:ascii="Arial" w:hAnsi="Arial"/>
                <w:color w:val="000000"/>
                <w:sz w:val="18"/>
              </w:rPr>
              <w:t xml:space="preserve">à travers </w:t>
            </w:r>
            <w:r w:rsidR="00863A53">
              <w:rPr>
                <w:rFonts w:ascii="Arial" w:hAnsi="Arial"/>
                <w:color w:val="000000"/>
                <w:sz w:val="18"/>
              </w:rPr>
              <w:t xml:space="preserve">trois postes extrabudgétaires à durée déterminée </w:t>
            </w:r>
            <w:r w:rsidRPr="005339C4">
              <w:rPr>
                <w:rFonts w:asciiTheme="minorBidi" w:hAnsiTheme="minorBidi" w:cstheme="minorBidi"/>
                <w:color w:val="000000"/>
                <w:sz w:val="18"/>
                <w:szCs w:val="18"/>
                <w:lang w:val="fr"/>
              </w:rPr>
              <w:t>financés à l</w:t>
            </w:r>
            <w:r>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aide de fonds extrabudgétaires (un P3, un P2 et un G5) ;</w:t>
            </w:r>
          </w:p>
        </w:tc>
        <w:tc>
          <w:tcPr>
            <w:tcW w:w="1258" w:type="dxa"/>
            <w:tcBorders>
              <w:top w:val="nil"/>
              <w:left w:val="nil"/>
              <w:bottom w:val="single" w:sz="4" w:space="0" w:color="auto"/>
              <w:right w:val="single" w:sz="4" w:space="0" w:color="auto"/>
            </w:tcBorders>
            <w:shd w:val="clear" w:color="auto" w:fill="auto"/>
            <w:vAlign w:val="center"/>
            <w:hideMark/>
          </w:tcPr>
          <w:p w14:paraId="6A16E954" w14:textId="42F60C9B" w:rsidR="00863A53" w:rsidRDefault="00863A53">
            <w:pPr>
              <w:jc w:val="center"/>
              <w:rPr>
                <w:rFonts w:ascii="Arial" w:hAnsi="Arial" w:cs="Arial"/>
                <w:color w:val="000000"/>
                <w:sz w:val="18"/>
                <w:szCs w:val="18"/>
              </w:rPr>
            </w:pPr>
            <w:r>
              <w:rPr>
                <w:rFonts w:ascii="Arial" w:hAnsi="Arial"/>
                <w:color w:val="000000"/>
                <w:sz w:val="18"/>
              </w:rPr>
              <w:t>10,00</w:t>
            </w:r>
            <w:r w:rsidR="00DC76D8">
              <w:rPr>
                <w:rFonts w:ascii="Arial" w:hAnsi="Arial"/>
                <w:color w:val="000000"/>
                <w:sz w:val="18"/>
              </w:rPr>
              <w:t> </w:t>
            </w:r>
            <w:r>
              <w:rPr>
                <w:rFonts w:ascii="Arial" w:hAnsi="Arial"/>
                <w:color w:val="000000"/>
                <w:sz w:val="18"/>
              </w:rPr>
              <w:t>%</w:t>
            </w:r>
          </w:p>
        </w:tc>
        <w:tc>
          <w:tcPr>
            <w:tcW w:w="1301" w:type="dxa"/>
            <w:tcBorders>
              <w:top w:val="nil"/>
              <w:left w:val="nil"/>
              <w:bottom w:val="single" w:sz="4" w:space="0" w:color="auto"/>
              <w:right w:val="single" w:sz="8" w:space="0" w:color="auto"/>
            </w:tcBorders>
            <w:shd w:val="clear" w:color="auto" w:fill="auto"/>
            <w:vAlign w:val="center"/>
            <w:hideMark/>
          </w:tcPr>
          <w:p w14:paraId="0C023667" w14:textId="744E668E" w:rsidR="00863A53" w:rsidRDefault="00863A53">
            <w:pPr>
              <w:jc w:val="center"/>
              <w:rPr>
                <w:rFonts w:ascii="Arial" w:hAnsi="Arial" w:cs="Arial"/>
                <w:color w:val="000000"/>
                <w:sz w:val="18"/>
                <w:szCs w:val="18"/>
              </w:rPr>
            </w:pPr>
            <w:r>
              <w:rPr>
                <w:rFonts w:ascii="Arial" w:hAnsi="Arial"/>
                <w:color w:val="000000"/>
                <w:sz w:val="18"/>
              </w:rPr>
              <w:t>12,30</w:t>
            </w:r>
            <w:r w:rsidR="00DC76D8">
              <w:rPr>
                <w:rFonts w:ascii="Arial" w:hAnsi="Arial"/>
                <w:color w:val="000000"/>
                <w:sz w:val="18"/>
              </w:rPr>
              <w:t> </w:t>
            </w:r>
            <w:r>
              <w:rPr>
                <w:rFonts w:ascii="Arial" w:hAnsi="Arial"/>
                <w:color w:val="000000"/>
                <w:sz w:val="18"/>
              </w:rPr>
              <w:t>%</w:t>
            </w:r>
          </w:p>
        </w:tc>
        <w:tc>
          <w:tcPr>
            <w:tcW w:w="1504" w:type="dxa"/>
            <w:tcBorders>
              <w:top w:val="nil"/>
              <w:left w:val="nil"/>
              <w:bottom w:val="dashed" w:sz="4" w:space="0" w:color="auto"/>
              <w:right w:val="dashed" w:sz="4" w:space="0" w:color="auto"/>
            </w:tcBorders>
            <w:shd w:val="clear" w:color="auto" w:fill="auto"/>
            <w:vAlign w:val="center"/>
            <w:hideMark/>
          </w:tcPr>
          <w:p w14:paraId="4BEDBCB3" w14:textId="0550DCA2" w:rsidR="00863A53" w:rsidRDefault="00863A53">
            <w:pPr>
              <w:jc w:val="center"/>
              <w:rPr>
                <w:rFonts w:ascii="Arial" w:hAnsi="Arial" w:cs="Arial"/>
                <w:i/>
                <w:iCs/>
                <w:color w:val="000000"/>
                <w:sz w:val="18"/>
                <w:szCs w:val="18"/>
              </w:rPr>
            </w:pPr>
            <w:r>
              <w:rPr>
                <w:rFonts w:ascii="Arial" w:hAnsi="Arial"/>
                <w:i/>
                <w:color w:val="000000"/>
                <w:sz w:val="18"/>
              </w:rPr>
              <w:t>1</w:t>
            </w:r>
            <w:r w:rsidR="00DC76D8">
              <w:rPr>
                <w:rFonts w:ascii="Arial" w:hAnsi="Arial"/>
                <w:i/>
                <w:color w:val="000000"/>
                <w:sz w:val="18"/>
              </w:rPr>
              <w:t> 007 </w:t>
            </w:r>
            <w:r>
              <w:rPr>
                <w:rFonts w:ascii="Arial" w:hAnsi="Arial"/>
                <w:i/>
                <w:color w:val="000000"/>
                <w:sz w:val="18"/>
              </w:rPr>
              <w:t>318</w:t>
            </w:r>
            <w:r w:rsidR="00DC76D8">
              <w:rPr>
                <w:rFonts w:ascii="Arial" w:hAnsi="Arial"/>
                <w:i/>
                <w:color w:val="000000"/>
                <w:sz w:val="18"/>
              </w:rPr>
              <w:t> </w:t>
            </w:r>
            <w:r>
              <w:rPr>
                <w:rFonts w:ascii="Arial" w:hAnsi="Arial"/>
                <w:i/>
                <w:color w:val="000000"/>
                <w:sz w:val="18"/>
              </w:rPr>
              <w:t>$</w:t>
            </w:r>
          </w:p>
        </w:tc>
        <w:tc>
          <w:tcPr>
            <w:tcW w:w="1519" w:type="dxa"/>
            <w:tcBorders>
              <w:top w:val="nil"/>
              <w:left w:val="nil"/>
              <w:bottom w:val="dashed" w:sz="4" w:space="0" w:color="auto"/>
              <w:right w:val="dashed" w:sz="4" w:space="0" w:color="auto"/>
            </w:tcBorders>
            <w:shd w:val="clear" w:color="auto" w:fill="auto"/>
            <w:vAlign w:val="center"/>
            <w:hideMark/>
          </w:tcPr>
          <w:p w14:paraId="7A6CEA1A" w14:textId="76004808" w:rsidR="00863A53" w:rsidRDefault="00863A53">
            <w:pPr>
              <w:jc w:val="center"/>
              <w:rPr>
                <w:rFonts w:ascii="Arial" w:hAnsi="Arial" w:cs="Arial"/>
                <w:i/>
                <w:iCs/>
                <w:color w:val="000000"/>
                <w:sz w:val="18"/>
                <w:szCs w:val="18"/>
              </w:rPr>
            </w:pPr>
            <w:r>
              <w:rPr>
                <w:rFonts w:ascii="Arial" w:hAnsi="Arial"/>
                <w:i/>
                <w:color w:val="000000"/>
                <w:sz w:val="18"/>
              </w:rPr>
              <w:t>251</w:t>
            </w:r>
            <w:r w:rsidR="00DC76D8">
              <w:rPr>
                <w:rFonts w:ascii="Arial" w:hAnsi="Arial"/>
                <w:i/>
                <w:color w:val="000000"/>
                <w:sz w:val="18"/>
              </w:rPr>
              <w:t> </w:t>
            </w:r>
            <w:r>
              <w:rPr>
                <w:rFonts w:ascii="Arial" w:hAnsi="Arial"/>
                <w:i/>
                <w:color w:val="000000"/>
                <w:sz w:val="18"/>
              </w:rPr>
              <w:t>830</w:t>
            </w:r>
            <w:r w:rsidR="00DC76D8">
              <w:rPr>
                <w:rFonts w:ascii="Arial" w:hAnsi="Arial"/>
                <w:i/>
                <w:color w:val="000000"/>
                <w:sz w:val="18"/>
              </w:rPr>
              <w:t> </w:t>
            </w:r>
            <w:r>
              <w:rPr>
                <w:rFonts w:ascii="Arial" w:hAnsi="Arial"/>
                <w:i/>
                <w:color w:val="000000"/>
                <w:sz w:val="18"/>
              </w:rPr>
              <w:t>$</w:t>
            </w:r>
          </w:p>
        </w:tc>
      </w:tr>
      <w:tr w:rsidR="00863A53" w14:paraId="01548207" w14:textId="77777777" w:rsidTr="007F4A9E">
        <w:trPr>
          <w:trHeight w:val="932"/>
        </w:trPr>
        <w:tc>
          <w:tcPr>
            <w:tcW w:w="622" w:type="dxa"/>
            <w:tcBorders>
              <w:top w:val="nil"/>
              <w:left w:val="single" w:sz="8" w:space="0" w:color="auto"/>
              <w:bottom w:val="single" w:sz="4" w:space="0" w:color="auto"/>
              <w:right w:val="single" w:sz="4" w:space="0" w:color="auto"/>
            </w:tcBorders>
            <w:shd w:val="clear" w:color="auto" w:fill="auto"/>
            <w:noWrap/>
            <w:vAlign w:val="center"/>
            <w:hideMark/>
          </w:tcPr>
          <w:p w14:paraId="10925CCC" w14:textId="77777777" w:rsidR="00863A53" w:rsidRDefault="00863A53">
            <w:pPr>
              <w:ind w:firstLineChars="100" w:firstLine="180"/>
              <w:rPr>
                <w:rFonts w:ascii="Arial" w:hAnsi="Arial" w:cs="Arial"/>
                <w:color w:val="000000"/>
                <w:sz w:val="18"/>
                <w:szCs w:val="18"/>
              </w:rPr>
            </w:pPr>
            <w:r>
              <w:rPr>
                <w:rFonts w:ascii="Arial" w:hAnsi="Arial"/>
                <w:color w:val="000000"/>
                <w:sz w:val="18"/>
              </w:rPr>
              <w:t>2.</w:t>
            </w:r>
          </w:p>
        </w:tc>
        <w:tc>
          <w:tcPr>
            <w:tcW w:w="3502" w:type="dxa"/>
            <w:tcBorders>
              <w:top w:val="nil"/>
              <w:left w:val="nil"/>
              <w:bottom w:val="single" w:sz="4" w:space="0" w:color="auto"/>
              <w:right w:val="single" w:sz="4" w:space="0" w:color="auto"/>
            </w:tcBorders>
            <w:shd w:val="clear" w:color="auto" w:fill="auto"/>
            <w:vAlign w:val="center"/>
            <w:hideMark/>
          </w:tcPr>
          <w:p w14:paraId="59FEAFDC" w14:textId="3267707F" w:rsidR="00863A53" w:rsidRPr="00863A53" w:rsidRDefault="007F4A9E" w:rsidP="00863A53">
            <w:pPr>
              <w:rPr>
                <w:rFonts w:ascii="Arial" w:hAnsi="Arial" w:cs="Arial"/>
                <w:color w:val="000000"/>
                <w:sz w:val="18"/>
                <w:szCs w:val="18"/>
              </w:rPr>
            </w:pPr>
            <w:r w:rsidRPr="005339C4">
              <w:rPr>
                <w:rFonts w:asciiTheme="minorBidi" w:hAnsiTheme="minorBidi" w:cstheme="minorBidi"/>
                <w:color w:val="000000"/>
                <w:sz w:val="18"/>
                <w:szCs w:val="18"/>
                <w:lang w:val="fr"/>
              </w:rPr>
              <w:t>Assistance préparatoire pour les demandes d</w:t>
            </w:r>
            <w:r>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 xml:space="preserve">assistance internationale, les </w:t>
            </w:r>
            <w:r w:rsidRPr="00AF4ABA">
              <w:rPr>
                <w:rFonts w:asciiTheme="minorBidi" w:hAnsiTheme="minorBidi" w:cstheme="minorBidi"/>
                <w:color w:val="000000"/>
                <w:sz w:val="18"/>
                <w:szCs w:val="18"/>
                <w:lang w:val="fr"/>
              </w:rPr>
              <w:t>candidatures et les propositions pour les Listes et le Registre de la Convention ;</w:t>
            </w:r>
          </w:p>
        </w:tc>
        <w:tc>
          <w:tcPr>
            <w:tcW w:w="1258" w:type="dxa"/>
            <w:tcBorders>
              <w:top w:val="nil"/>
              <w:left w:val="nil"/>
              <w:bottom w:val="single" w:sz="4" w:space="0" w:color="auto"/>
              <w:right w:val="single" w:sz="4" w:space="0" w:color="auto"/>
            </w:tcBorders>
            <w:shd w:val="clear" w:color="auto" w:fill="auto"/>
            <w:vAlign w:val="center"/>
            <w:hideMark/>
          </w:tcPr>
          <w:p w14:paraId="1AAD7C24" w14:textId="7EC14407" w:rsidR="00863A53" w:rsidRDefault="00863A53">
            <w:pPr>
              <w:jc w:val="center"/>
              <w:rPr>
                <w:rFonts w:ascii="Arial" w:hAnsi="Arial" w:cs="Arial"/>
                <w:color w:val="000000"/>
                <w:sz w:val="18"/>
                <w:szCs w:val="18"/>
              </w:rPr>
            </w:pPr>
            <w:r>
              <w:rPr>
                <w:rFonts w:ascii="Arial" w:hAnsi="Arial"/>
                <w:color w:val="000000"/>
                <w:sz w:val="18"/>
              </w:rPr>
              <w:t>2,60</w:t>
            </w:r>
            <w:r w:rsidR="00DC76D8">
              <w:rPr>
                <w:rFonts w:ascii="Arial" w:hAnsi="Arial"/>
                <w:color w:val="000000"/>
                <w:sz w:val="18"/>
              </w:rPr>
              <w:t> </w:t>
            </w:r>
            <w:r>
              <w:rPr>
                <w:rFonts w:ascii="Arial" w:hAnsi="Arial"/>
                <w:color w:val="000000"/>
                <w:sz w:val="18"/>
              </w:rPr>
              <w:t>%</w:t>
            </w:r>
          </w:p>
        </w:tc>
        <w:tc>
          <w:tcPr>
            <w:tcW w:w="1301" w:type="dxa"/>
            <w:tcBorders>
              <w:top w:val="nil"/>
              <w:left w:val="nil"/>
              <w:bottom w:val="single" w:sz="4" w:space="0" w:color="auto"/>
              <w:right w:val="single" w:sz="8" w:space="0" w:color="auto"/>
            </w:tcBorders>
            <w:shd w:val="clear" w:color="auto" w:fill="auto"/>
            <w:vAlign w:val="center"/>
            <w:hideMark/>
          </w:tcPr>
          <w:p w14:paraId="0C80362A" w14:textId="575BB6DB" w:rsidR="00863A53" w:rsidRDefault="00863A53">
            <w:pPr>
              <w:jc w:val="center"/>
              <w:rPr>
                <w:rFonts w:ascii="Arial" w:hAnsi="Arial" w:cs="Arial"/>
                <w:color w:val="000000"/>
                <w:sz w:val="18"/>
                <w:szCs w:val="18"/>
              </w:rPr>
            </w:pPr>
            <w:r>
              <w:rPr>
                <w:rFonts w:ascii="Arial" w:hAnsi="Arial"/>
                <w:color w:val="000000"/>
                <w:sz w:val="18"/>
              </w:rPr>
              <w:t>2,80</w:t>
            </w:r>
            <w:r w:rsidR="00DC76D8">
              <w:rPr>
                <w:rFonts w:ascii="Arial" w:hAnsi="Arial"/>
                <w:color w:val="000000"/>
                <w:sz w:val="18"/>
              </w:rPr>
              <w:t> </w:t>
            </w:r>
            <w:r>
              <w:rPr>
                <w:rFonts w:ascii="Arial" w:hAnsi="Arial"/>
                <w:color w:val="000000"/>
                <w:sz w:val="18"/>
              </w:rPr>
              <w:t>%</w:t>
            </w:r>
          </w:p>
        </w:tc>
        <w:tc>
          <w:tcPr>
            <w:tcW w:w="1504" w:type="dxa"/>
            <w:tcBorders>
              <w:top w:val="nil"/>
              <w:left w:val="nil"/>
              <w:bottom w:val="dashed" w:sz="4" w:space="0" w:color="auto"/>
              <w:right w:val="dashed" w:sz="4" w:space="0" w:color="auto"/>
            </w:tcBorders>
            <w:shd w:val="clear" w:color="auto" w:fill="auto"/>
            <w:vAlign w:val="center"/>
            <w:hideMark/>
          </w:tcPr>
          <w:p w14:paraId="2DAAAEDE" w14:textId="1D181F56" w:rsidR="00863A53" w:rsidRDefault="00863A53">
            <w:pPr>
              <w:jc w:val="center"/>
              <w:rPr>
                <w:rFonts w:ascii="Arial" w:hAnsi="Arial" w:cs="Arial"/>
                <w:i/>
                <w:iCs/>
                <w:color w:val="000000"/>
                <w:sz w:val="18"/>
                <w:szCs w:val="18"/>
              </w:rPr>
            </w:pPr>
            <w:r>
              <w:rPr>
                <w:rFonts w:ascii="Arial" w:hAnsi="Arial"/>
                <w:i/>
                <w:color w:val="000000"/>
                <w:sz w:val="18"/>
              </w:rPr>
              <w:t>229</w:t>
            </w:r>
            <w:r w:rsidR="00DC76D8">
              <w:rPr>
                <w:rFonts w:ascii="Arial" w:hAnsi="Arial"/>
                <w:i/>
                <w:color w:val="000000"/>
                <w:sz w:val="18"/>
              </w:rPr>
              <w:t> </w:t>
            </w:r>
            <w:r>
              <w:rPr>
                <w:rFonts w:ascii="Arial" w:hAnsi="Arial"/>
                <w:i/>
                <w:color w:val="000000"/>
                <w:sz w:val="18"/>
              </w:rPr>
              <w:t>308</w:t>
            </w:r>
            <w:r w:rsidR="00DC76D8">
              <w:rPr>
                <w:rFonts w:ascii="Arial" w:hAnsi="Arial"/>
                <w:i/>
                <w:color w:val="000000"/>
                <w:sz w:val="18"/>
              </w:rPr>
              <w:t> </w:t>
            </w:r>
            <w:r>
              <w:rPr>
                <w:rFonts w:ascii="Arial" w:hAnsi="Arial"/>
                <w:i/>
                <w:color w:val="000000"/>
                <w:sz w:val="18"/>
              </w:rPr>
              <w:t>$</w:t>
            </w:r>
          </w:p>
        </w:tc>
        <w:tc>
          <w:tcPr>
            <w:tcW w:w="1519" w:type="dxa"/>
            <w:tcBorders>
              <w:top w:val="nil"/>
              <w:left w:val="nil"/>
              <w:bottom w:val="dashed" w:sz="4" w:space="0" w:color="auto"/>
              <w:right w:val="dashed" w:sz="4" w:space="0" w:color="auto"/>
            </w:tcBorders>
            <w:shd w:val="clear" w:color="auto" w:fill="auto"/>
            <w:vAlign w:val="center"/>
            <w:hideMark/>
          </w:tcPr>
          <w:p w14:paraId="08034AAD" w14:textId="0A513993" w:rsidR="00863A53" w:rsidRDefault="00863A53">
            <w:pPr>
              <w:jc w:val="center"/>
              <w:rPr>
                <w:rFonts w:ascii="Arial" w:hAnsi="Arial" w:cs="Arial"/>
                <w:i/>
                <w:iCs/>
                <w:color w:val="000000"/>
                <w:sz w:val="18"/>
                <w:szCs w:val="18"/>
              </w:rPr>
            </w:pPr>
            <w:r>
              <w:rPr>
                <w:rFonts w:ascii="Arial" w:hAnsi="Arial"/>
                <w:i/>
                <w:color w:val="000000"/>
                <w:sz w:val="18"/>
              </w:rPr>
              <w:t>57</w:t>
            </w:r>
            <w:r w:rsidR="00DC76D8">
              <w:rPr>
                <w:rFonts w:ascii="Arial" w:hAnsi="Arial"/>
                <w:i/>
                <w:color w:val="000000"/>
                <w:sz w:val="18"/>
              </w:rPr>
              <w:t> </w:t>
            </w:r>
            <w:r>
              <w:rPr>
                <w:rFonts w:ascii="Arial" w:hAnsi="Arial"/>
                <w:i/>
                <w:color w:val="000000"/>
                <w:sz w:val="18"/>
              </w:rPr>
              <w:t>327</w:t>
            </w:r>
            <w:r w:rsidR="00DC76D8">
              <w:rPr>
                <w:rFonts w:ascii="Arial" w:hAnsi="Arial"/>
                <w:i/>
                <w:color w:val="000000"/>
                <w:sz w:val="18"/>
              </w:rPr>
              <w:t> </w:t>
            </w:r>
            <w:r>
              <w:rPr>
                <w:rFonts w:ascii="Arial" w:hAnsi="Arial"/>
                <w:i/>
                <w:color w:val="000000"/>
                <w:sz w:val="18"/>
              </w:rPr>
              <w:t>$</w:t>
            </w:r>
          </w:p>
        </w:tc>
      </w:tr>
      <w:tr w:rsidR="00863A53" w14:paraId="0A22C291" w14:textId="77777777" w:rsidTr="007F4A9E">
        <w:trPr>
          <w:trHeight w:val="2557"/>
        </w:trPr>
        <w:tc>
          <w:tcPr>
            <w:tcW w:w="622" w:type="dxa"/>
            <w:tcBorders>
              <w:top w:val="nil"/>
              <w:left w:val="single" w:sz="8" w:space="0" w:color="auto"/>
              <w:bottom w:val="single" w:sz="4" w:space="0" w:color="auto"/>
              <w:right w:val="single" w:sz="4" w:space="0" w:color="auto"/>
            </w:tcBorders>
            <w:shd w:val="clear" w:color="auto" w:fill="auto"/>
            <w:noWrap/>
            <w:vAlign w:val="center"/>
            <w:hideMark/>
          </w:tcPr>
          <w:p w14:paraId="220CFC58" w14:textId="77777777" w:rsidR="00863A53" w:rsidRDefault="00863A53">
            <w:pPr>
              <w:ind w:firstLineChars="100" w:firstLine="180"/>
              <w:rPr>
                <w:rFonts w:ascii="Arial" w:hAnsi="Arial" w:cs="Arial"/>
                <w:color w:val="000000"/>
                <w:sz w:val="18"/>
                <w:szCs w:val="18"/>
              </w:rPr>
            </w:pPr>
            <w:r>
              <w:rPr>
                <w:rFonts w:ascii="Arial" w:hAnsi="Arial"/>
                <w:color w:val="000000"/>
                <w:sz w:val="18"/>
              </w:rPr>
              <w:t>3.</w:t>
            </w:r>
          </w:p>
        </w:tc>
        <w:tc>
          <w:tcPr>
            <w:tcW w:w="3502" w:type="dxa"/>
            <w:tcBorders>
              <w:top w:val="nil"/>
              <w:left w:val="nil"/>
              <w:bottom w:val="single" w:sz="4" w:space="0" w:color="auto"/>
              <w:right w:val="single" w:sz="4" w:space="0" w:color="auto"/>
            </w:tcBorders>
            <w:shd w:val="clear" w:color="auto" w:fill="auto"/>
            <w:vAlign w:val="center"/>
            <w:hideMark/>
          </w:tcPr>
          <w:p w14:paraId="67397F7A" w14:textId="35BEA3C0" w:rsidR="00863A53" w:rsidRPr="00863A53" w:rsidRDefault="007F4A9E" w:rsidP="00863A53">
            <w:pPr>
              <w:rPr>
                <w:rFonts w:ascii="Arial" w:hAnsi="Arial" w:cs="Arial"/>
                <w:color w:val="000000"/>
                <w:sz w:val="18"/>
                <w:szCs w:val="18"/>
              </w:rPr>
            </w:pPr>
            <w:r w:rsidRPr="005339C4">
              <w:rPr>
                <w:rFonts w:asciiTheme="minorBidi" w:hAnsiTheme="minorBidi" w:cstheme="minorBidi"/>
                <w:color w:val="000000"/>
                <w:sz w:val="18"/>
                <w:szCs w:val="18"/>
                <w:lang w:val="fr"/>
              </w:rPr>
              <w:t>Autres fonctions du Comité telles que décrites à l</w:t>
            </w:r>
            <w:r>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article 7 de la Convention, visant à promouvoir les objectifs de la Convention et à encourager et assurer le suivi de sa mise en œuvre, à travers notamment le renforcement des capacités en vue d</w:t>
            </w:r>
            <w:r>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une sauvegarde efficace du patrimoine culturel immatériel, une plus grande sensibilisation à l</w:t>
            </w:r>
            <w:r>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importance de ce patrimoine, la fourniture de conseils sur les bonnes pratiques de sauvegarde et la mise à jour et la publication des Listes et du Registre de bonnes pratiques de sauvegarde</w:t>
            </w:r>
            <w:r w:rsidR="008A08CE">
              <w:rPr>
                <w:rFonts w:asciiTheme="minorBidi" w:hAnsiTheme="minorBidi" w:cstheme="minorBidi"/>
                <w:color w:val="000000"/>
                <w:sz w:val="18"/>
                <w:szCs w:val="18"/>
                <w:lang w:val="fr"/>
              </w:rPr>
              <w:t xml:space="preserve"> : </w:t>
            </w:r>
          </w:p>
        </w:tc>
        <w:tc>
          <w:tcPr>
            <w:tcW w:w="1258" w:type="dxa"/>
            <w:tcBorders>
              <w:top w:val="nil"/>
              <w:left w:val="nil"/>
              <w:bottom w:val="single" w:sz="4" w:space="0" w:color="auto"/>
              <w:right w:val="single" w:sz="4" w:space="0" w:color="auto"/>
            </w:tcBorders>
            <w:shd w:val="clear" w:color="auto" w:fill="auto"/>
            <w:vAlign w:val="center"/>
            <w:hideMark/>
          </w:tcPr>
          <w:p w14:paraId="23DC69EA" w14:textId="7482C234" w:rsidR="00863A53" w:rsidRDefault="00863A53">
            <w:pPr>
              <w:jc w:val="center"/>
              <w:rPr>
                <w:rFonts w:ascii="Arial" w:hAnsi="Arial" w:cs="Arial"/>
                <w:color w:val="000000"/>
                <w:sz w:val="18"/>
                <w:szCs w:val="18"/>
              </w:rPr>
            </w:pPr>
            <w:r>
              <w:rPr>
                <w:rFonts w:ascii="Arial" w:hAnsi="Arial"/>
                <w:color w:val="000000"/>
                <w:sz w:val="18"/>
              </w:rPr>
              <w:t>20,00</w:t>
            </w:r>
            <w:r w:rsidR="00DC76D8">
              <w:rPr>
                <w:rFonts w:ascii="Arial" w:hAnsi="Arial"/>
                <w:color w:val="000000"/>
                <w:sz w:val="18"/>
              </w:rPr>
              <w:t> </w:t>
            </w:r>
            <w:r>
              <w:rPr>
                <w:rFonts w:ascii="Arial" w:hAnsi="Arial"/>
                <w:color w:val="000000"/>
                <w:sz w:val="18"/>
              </w:rPr>
              <w:t>%</w:t>
            </w:r>
          </w:p>
        </w:tc>
        <w:tc>
          <w:tcPr>
            <w:tcW w:w="1301" w:type="dxa"/>
            <w:tcBorders>
              <w:top w:val="nil"/>
              <w:left w:val="nil"/>
              <w:bottom w:val="single" w:sz="4" w:space="0" w:color="auto"/>
              <w:right w:val="single" w:sz="8" w:space="0" w:color="auto"/>
            </w:tcBorders>
            <w:shd w:val="clear" w:color="auto" w:fill="auto"/>
            <w:vAlign w:val="center"/>
            <w:hideMark/>
          </w:tcPr>
          <w:p w14:paraId="59D7F818" w14:textId="57612C24" w:rsidR="00863A53" w:rsidRDefault="00863A53">
            <w:pPr>
              <w:jc w:val="center"/>
              <w:rPr>
                <w:rFonts w:ascii="Arial" w:hAnsi="Arial" w:cs="Arial"/>
                <w:color w:val="000000"/>
                <w:sz w:val="18"/>
                <w:szCs w:val="18"/>
              </w:rPr>
            </w:pPr>
            <w:r>
              <w:rPr>
                <w:rFonts w:ascii="Arial" w:hAnsi="Arial"/>
                <w:color w:val="000000"/>
                <w:sz w:val="18"/>
              </w:rPr>
              <w:t>20,00</w:t>
            </w:r>
            <w:r w:rsidR="00DC76D8">
              <w:rPr>
                <w:rFonts w:ascii="Arial" w:hAnsi="Arial"/>
                <w:color w:val="000000"/>
                <w:sz w:val="18"/>
              </w:rPr>
              <w:t> </w:t>
            </w:r>
            <w:r>
              <w:rPr>
                <w:rFonts w:ascii="Arial" w:hAnsi="Arial"/>
                <w:color w:val="000000"/>
                <w:sz w:val="18"/>
              </w:rPr>
              <w:t>%</w:t>
            </w:r>
          </w:p>
        </w:tc>
        <w:tc>
          <w:tcPr>
            <w:tcW w:w="1504" w:type="dxa"/>
            <w:tcBorders>
              <w:top w:val="nil"/>
              <w:left w:val="nil"/>
              <w:bottom w:val="dashed" w:sz="4" w:space="0" w:color="auto"/>
              <w:right w:val="dashed" w:sz="4" w:space="0" w:color="auto"/>
            </w:tcBorders>
            <w:shd w:val="clear" w:color="auto" w:fill="auto"/>
            <w:vAlign w:val="center"/>
            <w:hideMark/>
          </w:tcPr>
          <w:p w14:paraId="4D559280" w14:textId="38E09E47" w:rsidR="00863A53" w:rsidRDefault="00863A53">
            <w:pPr>
              <w:jc w:val="center"/>
              <w:rPr>
                <w:rFonts w:ascii="Arial" w:hAnsi="Arial" w:cs="Arial"/>
                <w:i/>
                <w:iCs/>
                <w:color w:val="000000"/>
                <w:sz w:val="18"/>
                <w:szCs w:val="18"/>
              </w:rPr>
            </w:pPr>
            <w:r>
              <w:rPr>
                <w:rFonts w:ascii="Arial" w:hAnsi="Arial"/>
                <w:i/>
                <w:color w:val="000000"/>
                <w:sz w:val="18"/>
              </w:rPr>
              <w:t>1</w:t>
            </w:r>
            <w:r w:rsidR="00DC76D8">
              <w:rPr>
                <w:rFonts w:ascii="Arial" w:hAnsi="Arial"/>
                <w:i/>
                <w:color w:val="000000"/>
                <w:sz w:val="18"/>
              </w:rPr>
              <w:t> 637 </w:t>
            </w:r>
            <w:r>
              <w:rPr>
                <w:rFonts w:ascii="Arial" w:hAnsi="Arial"/>
                <w:i/>
                <w:color w:val="000000"/>
                <w:sz w:val="18"/>
              </w:rPr>
              <w:t>916</w:t>
            </w:r>
            <w:r w:rsidR="00DC76D8">
              <w:rPr>
                <w:rFonts w:ascii="Arial" w:hAnsi="Arial"/>
                <w:i/>
                <w:color w:val="000000"/>
                <w:sz w:val="18"/>
              </w:rPr>
              <w:t> </w:t>
            </w:r>
            <w:r>
              <w:rPr>
                <w:rFonts w:ascii="Arial" w:hAnsi="Arial"/>
                <w:i/>
                <w:color w:val="000000"/>
                <w:sz w:val="18"/>
              </w:rPr>
              <w:t>$</w:t>
            </w:r>
          </w:p>
        </w:tc>
        <w:tc>
          <w:tcPr>
            <w:tcW w:w="1519" w:type="dxa"/>
            <w:tcBorders>
              <w:top w:val="nil"/>
              <w:left w:val="nil"/>
              <w:bottom w:val="dashed" w:sz="4" w:space="0" w:color="auto"/>
              <w:right w:val="dashed" w:sz="4" w:space="0" w:color="auto"/>
            </w:tcBorders>
            <w:shd w:val="clear" w:color="auto" w:fill="auto"/>
            <w:vAlign w:val="center"/>
            <w:hideMark/>
          </w:tcPr>
          <w:p w14:paraId="66E213E9" w14:textId="4E01323D" w:rsidR="00863A53" w:rsidRDefault="00863A53">
            <w:pPr>
              <w:jc w:val="center"/>
              <w:rPr>
                <w:rFonts w:ascii="Arial" w:hAnsi="Arial" w:cs="Arial"/>
                <w:i/>
                <w:iCs/>
                <w:color w:val="000000"/>
                <w:sz w:val="18"/>
                <w:szCs w:val="18"/>
              </w:rPr>
            </w:pPr>
            <w:r>
              <w:rPr>
                <w:rFonts w:ascii="Arial" w:hAnsi="Arial"/>
                <w:i/>
                <w:color w:val="000000"/>
                <w:sz w:val="18"/>
              </w:rPr>
              <w:t>409</w:t>
            </w:r>
            <w:r w:rsidR="00DC76D8">
              <w:rPr>
                <w:rFonts w:ascii="Arial" w:hAnsi="Arial"/>
                <w:i/>
                <w:color w:val="000000"/>
                <w:sz w:val="18"/>
              </w:rPr>
              <w:t> </w:t>
            </w:r>
            <w:r>
              <w:rPr>
                <w:rFonts w:ascii="Arial" w:hAnsi="Arial"/>
                <w:i/>
                <w:color w:val="000000"/>
                <w:sz w:val="18"/>
              </w:rPr>
              <w:t>479</w:t>
            </w:r>
            <w:r w:rsidR="00DC76D8">
              <w:rPr>
                <w:rFonts w:ascii="Arial" w:hAnsi="Arial"/>
                <w:i/>
                <w:color w:val="000000"/>
                <w:sz w:val="18"/>
              </w:rPr>
              <w:t> </w:t>
            </w:r>
            <w:r>
              <w:rPr>
                <w:rFonts w:ascii="Arial" w:hAnsi="Arial"/>
                <w:i/>
                <w:color w:val="000000"/>
                <w:sz w:val="18"/>
              </w:rPr>
              <w:t>$</w:t>
            </w:r>
          </w:p>
        </w:tc>
      </w:tr>
      <w:tr w:rsidR="00E426C4" w14:paraId="547CB677" w14:textId="77777777" w:rsidTr="00165F89">
        <w:trPr>
          <w:trHeight w:val="300"/>
        </w:trPr>
        <w:tc>
          <w:tcPr>
            <w:tcW w:w="622" w:type="dxa"/>
            <w:vMerge w:val="restart"/>
            <w:tcBorders>
              <w:top w:val="nil"/>
              <w:left w:val="single" w:sz="8" w:space="0" w:color="auto"/>
              <w:bottom w:val="single" w:sz="4" w:space="0" w:color="auto"/>
              <w:right w:val="single" w:sz="4" w:space="0" w:color="auto"/>
            </w:tcBorders>
            <w:shd w:val="clear" w:color="000000" w:fill="E7E6E6"/>
            <w:noWrap/>
            <w:vAlign w:val="center"/>
            <w:hideMark/>
          </w:tcPr>
          <w:p w14:paraId="728EDDE2" w14:textId="77777777" w:rsidR="00E426C4" w:rsidRDefault="00E426C4" w:rsidP="00E426C4">
            <w:pPr>
              <w:jc w:val="center"/>
              <w:rPr>
                <w:rFonts w:ascii="Arial" w:hAnsi="Arial" w:cs="Arial"/>
                <w:i/>
                <w:iCs/>
                <w:color w:val="000000"/>
                <w:sz w:val="18"/>
                <w:szCs w:val="18"/>
              </w:rPr>
            </w:pPr>
            <w:r>
              <w:rPr>
                <w:rFonts w:ascii="Arial" w:hAnsi="Arial"/>
                <w:i/>
                <w:color w:val="000000"/>
                <w:sz w:val="18"/>
              </w:rPr>
              <w:t> </w:t>
            </w:r>
          </w:p>
        </w:tc>
        <w:tc>
          <w:tcPr>
            <w:tcW w:w="3502" w:type="dxa"/>
            <w:vMerge w:val="restart"/>
            <w:tcBorders>
              <w:top w:val="nil"/>
              <w:left w:val="single" w:sz="4" w:space="0" w:color="auto"/>
              <w:bottom w:val="single" w:sz="4" w:space="0" w:color="auto"/>
              <w:right w:val="single" w:sz="4" w:space="0" w:color="auto"/>
            </w:tcBorders>
            <w:shd w:val="clear" w:color="000000" w:fill="E7E6E6"/>
            <w:vAlign w:val="center"/>
            <w:hideMark/>
          </w:tcPr>
          <w:p w14:paraId="6DE3238E" w14:textId="1F260C4C" w:rsidR="00E426C4" w:rsidRPr="00165F89" w:rsidRDefault="007F4A9E" w:rsidP="00165F89">
            <w:pPr>
              <w:rPr>
                <w:rFonts w:ascii="Arial" w:hAnsi="Arial" w:cs="Arial"/>
                <w:b/>
                <w:bCs/>
                <w:i/>
                <w:iCs/>
                <w:color w:val="000000"/>
                <w:sz w:val="16"/>
                <w:szCs w:val="16"/>
              </w:rPr>
            </w:pPr>
            <w:r w:rsidRPr="00165F89">
              <w:rPr>
                <w:rFonts w:asciiTheme="minorBidi" w:hAnsiTheme="minorBidi" w:cstheme="minorBidi"/>
                <w:b/>
                <w:bCs/>
                <w:i/>
                <w:iCs/>
                <w:color w:val="000000"/>
                <w:sz w:val="16"/>
                <w:szCs w:val="16"/>
                <w:lang w:val="fr"/>
              </w:rPr>
              <w:t xml:space="preserve">RE  1 : Mise en œuvre de la Convention </w:t>
            </w:r>
            <w:r w:rsidR="00385610" w:rsidRPr="00165F89">
              <w:rPr>
                <w:rFonts w:asciiTheme="minorBidi" w:hAnsiTheme="minorBidi" w:cstheme="minorBidi"/>
                <w:b/>
                <w:bCs/>
                <w:i/>
                <w:iCs/>
                <w:color w:val="000000"/>
                <w:sz w:val="16"/>
                <w:szCs w:val="16"/>
                <w:lang w:val="fr"/>
              </w:rPr>
              <w:t>renforcé</w:t>
            </w:r>
            <w:r w:rsidRPr="00165F89">
              <w:rPr>
                <w:rFonts w:asciiTheme="minorBidi" w:hAnsiTheme="minorBidi" w:cstheme="minorBidi"/>
                <w:b/>
                <w:bCs/>
                <w:i/>
                <w:iCs/>
                <w:color w:val="000000"/>
                <w:sz w:val="16"/>
                <w:szCs w:val="16"/>
                <w:lang w:val="fr"/>
              </w:rPr>
              <w:t xml:space="preserve"> grâce à un programme </w:t>
            </w:r>
            <w:r w:rsidR="008A08CE" w:rsidRPr="00165F89">
              <w:rPr>
                <w:rFonts w:asciiTheme="minorBidi" w:hAnsiTheme="minorBidi" w:cstheme="minorBidi"/>
                <w:b/>
                <w:bCs/>
                <w:i/>
                <w:iCs/>
                <w:color w:val="000000"/>
                <w:sz w:val="16"/>
                <w:szCs w:val="16"/>
                <w:lang w:val="fr"/>
              </w:rPr>
              <w:t>amélioré</w:t>
            </w:r>
            <w:r w:rsidRPr="00165F89">
              <w:rPr>
                <w:rFonts w:asciiTheme="minorBidi" w:hAnsiTheme="minorBidi" w:cstheme="minorBidi"/>
                <w:b/>
                <w:bCs/>
                <w:i/>
                <w:iCs/>
                <w:color w:val="000000"/>
                <w:sz w:val="16"/>
                <w:szCs w:val="16"/>
                <w:lang w:val="fr"/>
              </w:rPr>
              <w:t xml:space="preserve"> de renforcement des capacités et l’intégration du patrimoine culturel immatériel dans les plans, politiques et programmes de développement</w:t>
            </w:r>
          </w:p>
        </w:tc>
        <w:tc>
          <w:tcPr>
            <w:tcW w:w="1258" w:type="dxa"/>
            <w:tcBorders>
              <w:top w:val="nil"/>
              <w:left w:val="nil"/>
              <w:bottom w:val="single" w:sz="4" w:space="0" w:color="auto"/>
              <w:right w:val="single" w:sz="4" w:space="0" w:color="auto"/>
            </w:tcBorders>
            <w:shd w:val="clear" w:color="000000" w:fill="E7E6E6"/>
            <w:vAlign w:val="center"/>
            <w:hideMark/>
          </w:tcPr>
          <w:p w14:paraId="3DD7F38D" w14:textId="45E7469B" w:rsidR="00E426C4" w:rsidRDefault="00E426C4" w:rsidP="00327AB4">
            <w:pPr>
              <w:jc w:val="center"/>
              <w:rPr>
                <w:rFonts w:ascii="Arial" w:hAnsi="Arial" w:cs="Arial"/>
                <w:i/>
                <w:iCs/>
                <w:color w:val="000000"/>
                <w:sz w:val="16"/>
                <w:szCs w:val="16"/>
              </w:rPr>
            </w:pPr>
            <w:r>
              <w:rPr>
                <w:rFonts w:ascii="Arial" w:hAnsi="Arial"/>
                <w:i/>
                <w:color w:val="000000"/>
                <w:sz w:val="16"/>
              </w:rPr>
              <w:t>6,60</w:t>
            </w:r>
            <w:r w:rsidR="00DC76D8">
              <w:rPr>
                <w:rFonts w:ascii="Arial" w:hAnsi="Arial"/>
                <w:i/>
                <w:color w:val="000000"/>
                <w:sz w:val="16"/>
              </w:rPr>
              <w:t> </w:t>
            </w:r>
            <w:r>
              <w:rPr>
                <w:rFonts w:ascii="Arial" w:hAnsi="Arial"/>
                <w:i/>
                <w:color w:val="000000"/>
                <w:sz w:val="16"/>
              </w:rPr>
              <w:t>%</w:t>
            </w:r>
          </w:p>
        </w:tc>
        <w:tc>
          <w:tcPr>
            <w:tcW w:w="1301" w:type="dxa"/>
            <w:vMerge w:val="restart"/>
            <w:tcBorders>
              <w:top w:val="nil"/>
              <w:left w:val="single" w:sz="4" w:space="0" w:color="auto"/>
              <w:bottom w:val="single" w:sz="4" w:space="0" w:color="auto"/>
              <w:right w:val="single" w:sz="8" w:space="0" w:color="auto"/>
            </w:tcBorders>
            <w:shd w:val="clear" w:color="000000" w:fill="E7E6E6"/>
            <w:vAlign w:val="center"/>
            <w:hideMark/>
          </w:tcPr>
          <w:p w14:paraId="20A73088" w14:textId="548C86DE" w:rsidR="00E426C4" w:rsidRDefault="00E426C4" w:rsidP="00327AB4">
            <w:pPr>
              <w:jc w:val="center"/>
              <w:rPr>
                <w:rFonts w:ascii="Arial" w:hAnsi="Arial" w:cs="Arial"/>
                <w:i/>
                <w:iCs/>
                <w:color w:val="000000"/>
                <w:sz w:val="16"/>
                <w:szCs w:val="16"/>
              </w:rPr>
            </w:pPr>
            <w:r>
              <w:rPr>
                <w:rFonts w:ascii="Arial" w:hAnsi="Arial"/>
                <w:i/>
                <w:color w:val="000000"/>
                <w:sz w:val="16"/>
              </w:rPr>
              <w:t>10,4</w:t>
            </w:r>
            <w:r w:rsidR="00DC76D8">
              <w:rPr>
                <w:rFonts w:ascii="Arial" w:hAnsi="Arial"/>
                <w:i/>
                <w:color w:val="000000"/>
                <w:sz w:val="16"/>
              </w:rPr>
              <w:t> </w:t>
            </w:r>
            <w:r>
              <w:rPr>
                <w:rFonts w:ascii="Arial" w:hAnsi="Arial"/>
                <w:i/>
                <w:color w:val="000000"/>
                <w:sz w:val="16"/>
              </w:rPr>
              <w:t>%</w:t>
            </w:r>
          </w:p>
        </w:tc>
        <w:tc>
          <w:tcPr>
            <w:tcW w:w="1504" w:type="dxa"/>
            <w:vMerge w:val="restart"/>
            <w:tcBorders>
              <w:top w:val="nil"/>
              <w:left w:val="nil"/>
              <w:bottom w:val="dashed" w:sz="4" w:space="0" w:color="auto"/>
              <w:right w:val="dashed" w:sz="4" w:space="0" w:color="auto"/>
            </w:tcBorders>
            <w:shd w:val="clear" w:color="000000" w:fill="E7E6E6"/>
            <w:vAlign w:val="center"/>
            <w:hideMark/>
          </w:tcPr>
          <w:p w14:paraId="48FD8FBF" w14:textId="25FFA982" w:rsidR="00E426C4" w:rsidRDefault="00E426C4" w:rsidP="00E426C4">
            <w:pPr>
              <w:jc w:val="center"/>
              <w:rPr>
                <w:rFonts w:ascii="Arial" w:hAnsi="Arial" w:cs="Arial"/>
                <w:i/>
                <w:iCs/>
                <w:color w:val="000000"/>
                <w:sz w:val="18"/>
                <w:szCs w:val="18"/>
              </w:rPr>
            </w:pPr>
            <w:r>
              <w:rPr>
                <w:rFonts w:ascii="Arial" w:hAnsi="Arial"/>
                <w:i/>
                <w:color w:val="000000"/>
                <w:sz w:val="18"/>
              </w:rPr>
              <w:t>851</w:t>
            </w:r>
            <w:r w:rsidR="00DC76D8">
              <w:rPr>
                <w:rFonts w:ascii="Arial" w:hAnsi="Arial"/>
                <w:i/>
                <w:color w:val="000000"/>
                <w:sz w:val="18"/>
              </w:rPr>
              <w:t> </w:t>
            </w:r>
            <w:r>
              <w:rPr>
                <w:rFonts w:ascii="Arial" w:hAnsi="Arial"/>
                <w:i/>
                <w:color w:val="000000"/>
                <w:sz w:val="18"/>
              </w:rPr>
              <w:t>716</w:t>
            </w:r>
            <w:r w:rsidR="00DC76D8">
              <w:rPr>
                <w:rFonts w:ascii="Arial" w:hAnsi="Arial"/>
                <w:i/>
                <w:color w:val="000000"/>
                <w:sz w:val="18"/>
              </w:rPr>
              <w:t> </w:t>
            </w:r>
            <w:r>
              <w:rPr>
                <w:rFonts w:ascii="Arial" w:hAnsi="Arial"/>
                <w:i/>
                <w:color w:val="000000"/>
                <w:sz w:val="18"/>
              </w:rPr>
              <w:t>$</w:t>
            </w:r>
          </w:p>
        </w:tc>
        <w:tc>
          <w:tcPr>
            <w:tcW w:w="1519" w:type="dxa"/>
            <w:vMerge w:val="restart"/>
            <w:tcBorders>
              <w:top w:val="nil"/>
              <w:left w:val="dashed" w:sz="4" w:space="0" w:color="auto"/>
              <w:bottom w:val="dashed" w:sz="4" w:space="0" w:color="auto"/>
              <w:right w:val="dashed" w:sz="4" w:space="0" w:color="auto"/>
            </w:tcBorders>
            <w:shd w:val="clear" w:color="000000" w:fill="E7E6E6"/>
            <w:vAlign w:val="center"/>
            <w:hideMark/>
          </w:tcPr>
          <w:p w14:paraId="42807105" w14:textId="6C662CF2" w:rsidR="00E426C4" w:rsidRDefault="00E426C4" w:rsidP="00E426C4">
            <w:pPr>
              <w:jc w:val="center"/>
              <w:rPr>
                <w:rFonts w:ascii="Arial" w:hAnsi="Arial" w:cs="Arial"/>
                <w:i/>
                <w:iCs/>
                <w:color w:val="000000"/>
                <w:sz w:val="18"/>
                <w:szCs w:val="18"/>
              </w:rPr>
            </w:pPr>
            <w:r>
              <w:rPr>
                <w:rFonts w:ascii="Arial" w:hAnsi="Arial"/>
                <w:i/>
                <w:color w:val="000000"/>
                <w:sz w:val="18"/>
              </w:rPr>
              <w:t>212</w:t>
            </w:r>
            <w:r w:rsidR="00DC76D8">
              <w:rPr>
                <w:rFonts w:ascii="Arial" w:hAnsi="Arial"/>
                <w:i/>
                <w:color w:val="000000"/>
                <w:sz w:val="18"/>
              </w:rPr>
              <w:t> </w:t>
            </w:r>
            <w:r>
              <w:rPr>
                <w:rFonts w:ascii="Arial" w:hAnsi="Arial"/>
                <w:i/>
                <w:color w:val="000000"/>
                <w:sz w:val="18"/>
              </w:rPr>
              <w:t>929</w:t>
            </w:r>
            <w:r w:rsidR="00DC76D8">
              <w:rPr>
                <w:rFonts w:ascii="Arial" w:hAnsi="Arial"/>
                <w:i/>
                <w:color w:val="000000"/>
                <w:sz w:val="18"/>
              </w:rPr>
              <w:t> </w:t>
            </w:r>
            <w:r>
              <w:rPr>
                <w:rFonts w:ascii="Arial" w:hAnsi="Arial"/>
                <w:i/>
                <w:color w:val="000000"/>
                <w:sz w:val="18"/>
              </w:rPr>
              <w:t>$</w:t>
            </w:r>
          </w:p>
        </w:tc>
      </w:tr>
      <w:tr w:rsidR="00E426C4" w14:paraId="598337F6" w14:textId="77777777" w:rsidTr="00165F89">
        <w:trPr>
          <w:trHeight w:val="300"/>
        </w:trPr>
        <w:tc>
          <w:tcPr>
            <w:tcW w:w="622" w:type="dxa"/>
            <w:vMerge/>
            <w:tcBorders>
              <w:top w:val="nil"/>
              <w:left w:val="single" w:sz="8" w:space="0" w:color="auto"/>
              <w:bottom w:val="single" w:sz="4" w:space="0" w:color="auto"/>
              <w:right w:val="single" w:sz="4" w:space="0" w:color="auto"/>
            </w:tcBorders>
            <w:vAlign w:val="center"/>
            <w:hideMark/>
          </w:tcPr>
          <w:p w14:paraId="4F70D16A" w14:textId="77777777" w:rsidR="00E426C4" w:rsidRDefault="00E426C4" w:rsidP="00E426C4">
            <w:pPr>
              <w:rPr>
                <w:rFonts w:ascii="Arial" w:hAnsi="Arial" w:cs="Arial"/>
                <w:i/>
                <w:iCs/>
                <w:color w:val="000000"/>
                <w:sz w:val="18"/>
                <w:szCs w:val="18"/>
              </w:rPr>
            </w:pPr>
          </w:p>
        </w:tc>
        <w:tc>
          <w:tcPr>
            <w:tcW w:w="3502" w:type="dxa"/>
            <w:vMerge/>
            <w:tcBorders>
              <w:top w:val="nil"/>
              <w:left w:val="single" w:sz="4" w:space="0" w:color="auto"/>
              <w:bottom w:val="single" w:sz="4" w:space="0" w:color="auto"/>
              <w:right w:val="single" w:sz="4" w:space="0" w:color="auto"/>
            </w:tcBorders>
            <w:vAlign w:val="center"/>
            <w:hideMark/>
          </w:tcPr>
          <w:p w14:paraId="361EB5B6" w14:textId="77777777" w:rsidR="00E426C4" w:rsidRPr="00165F89" w:rsidRDefault="00E426C4" w:rsidP="00165F89">
            <w:pPr>
              <w:rPr>
                <w:rFonts w:ascii="Arial" w:hAnsi="Arial" w:cs="Arial"/>
                <w:b/>
                <w:bCs/>
                <w:i/>
                <w:iCs/>
                <w:color w:val="000000"/>
                <w:sz w:val="16"/>
                <w:szCs w:val="16"/>
              </w:rPr>
            </w:pPr>
          </w:p>
        </w:tc>
        <w:tc>
          <w:tcPr>
            <w:tcW w:w="1258" w:type="dxa"/>
            <w:tcBorders>
              <w:top w:val="nil"/>
              <w:left w:val="nil"/>
              <w:bottom w:val="single" w:sz="4" w:space="0" w:color="auto"/>
              <w:right w:val="single" w:sz="4" w:space="0" w:color="auto"/>
            </w:tcBorders>
            <w:shd w:val="clear" w:color="000000" w:fill="E7E6E6"/>
            <w:vAlign w:val="center"/>
            <w:hideMark/>
          </w:tcPr>
          <w:p w14:paraId="532DD7AA" w14:textId="059708F0" w:rsidR="00E426C4" w:rsidRDefault="00E426C4" w:rsidP="00327AB4">
            <w:pPr>
              <w:jc w:val="center"/>
              <w:rPr>
                <w:rFonts w:ascii="Arial" w:hAnsi="Arial" w:cs="Arial"/>
                <w:i/>
                <w:iCs/>
                <w:color w:val="000000"/>
                <w:sz w:val="16"/>
                <w:szCs w:val="16"/>
              </w:rPr>
            </w:pPr>
            <w:r>
              <w:rPr>
                <w:rFonts w:ascii="Arial" w:hAnsi="Arial"/>
                <w:i/>
                <w:color w:val="000000"/>
                <w:sz w:val="16"/>
              </w:rPr>
              <w:t>(</w:t>
            </w:r>
            <w:r w:rsidR="008A08CE">
              <w:rPr>
                <w:rFonts w:ascii="Arial" w:hAnsi="Arial"/>
                <w:i/>
                <w:color w:val="000000"/>
                <w:sz w:val="16"/>
              </w:rPr>
              <w:t>RE </w:t>
            </w:r>
            <w:r>
              <w:rPr>
                <w:rFonts w:ascii="Arial" w:hAnsi="Arial"/>
                <w:i/>
                <w:color w:val="000000"/>
                <w:sz w:val="16"/>
              </w:rPr>
              <w:t>2 : 33</w:t>
            </w:r>
            <w:r w:rsidR="00DC76D8">
              <w:rPr>
                <w:rFonts w:ascii="Arial" w:hAnsi="Arial"/>
                <w:i/>
                <w:color w:val="000000"/>
                <w:sz w:val="16"/>
              </w:rPr>
              <w:t> </w:t>
            </w:r>
            <w:r>
              <w:rPr>
                <w:rFonts w:ascii="Arial" w:hAnsi="Arial"/>
                <w:i/>
                <w:color w:val="000000"/>
                <w:sz w:val="16"/>
              </w:rPr>
              <w:t>% de la ligne</w:t>
            </w:r>
            <w:r w:rsidR="00DC76D8">
              <w:rPr>
                <w:rFonts w:ascii="Arial" w:hAnsi="Arial"/>
                <w:i/>
                <w:color w:val="000000"/>
                <w:sz w:val="16"/>
              </w:rPr>
              <w:t> </w:t>
            </w:r>
            <w:r>
              <w:rPr>
                <w:rFonts w:ascii="Arial" w:hAnsi="Arial"/>
                <w:i/>
                <w:color w:val="000000"/>
                <w:sz w:val="16"/>
              </w:rPr>
              <w:t>3)</w:t>
            </w:r>
          </w:p>
        </w:tc>
        <w:tc>
          <w:tcPr>
            <w:tcW w:w="1301" w:type="dxa"/>
            <w:vMerge/>
            <w:tcBorders>
              <w:top w:val="nil"/>
              <w:left w:val="single" w:sz="4" w:space="0" w:color="auto"/>
              <w:bottom w:val="single" w:sz="4" w:space="0" w:color="auto"/>
              <w:right w:val="single" w:sz="8" w:space="0" w:color="auto"/>
            </w:tcBorders>
            <w:vAlign w:val="center"/>
            <w:hideMark/>
          </w:tcPr>
          <w:p w14:paraId="20B778B7" w14:textId="77777777" w:rsidR="00E426C4" w:rsidRDefault="00E426C4" w:rsidP="00CA4765">
            <w:pPr>
              <w:jc w:val="center"/>
              <w:rPr>
                <w:rFonts w:ascii="Arial" w:hAnsi="Arial" w:cs="Arial"/>
                <w:i/>
                <w:iCs/>
                <w:color w:val="000000"/>
                <w:sz w:val="16"/>
                <w:szCs w:val="16"/>
              </w:rPr>
            </w:pPr>
          </w:p>
        </w:tc>
        <w:tc>
          <w:tcPr>
            <w:tcW w:w="1504" w:type="dxa"/>
            <w:vMerge/>
            <w:tcBorders>
              <w:top w:val="nil"/>
              <w:left w:val="nil"/>
              <w:bottom w:val="dashed" w:sz="4" w:space="0" w:color="auto"/>
              <w:right w:val="dashed" w:sz="4" w:space="0" w:color="auto"/>
            </w:tcBorders>
            <w:vAlign w:val="center"/>
            <w:hideMark/>
          </w:tcPr>
          <w:p w14:paraId="399EC3CC" w14:textId="77777777" w:rsidR="00E426C4" w:rsidRDefault="00E426C4" w:rsidP="00E426C4">
            <w:pPr>
              <w:rPr>
                <w:rFonts w:ascii="Arial" w:hAnsi="Arial" w:cs="Arial"/>
                <w:i/>
                <w:iCs/>
                <w:color w:val="000000"/>
                <w:sz w:val="18"/>
                <w:szCs w:val="18"/>
              </w:rPr>
            </w:pPr>
          </w:p>
        </w:tc>
        <w:tc>
          <w:tcPr>
            <w:tcW w:w="1519" w:type="dxa"/>
            <w:vMerge/>
            <w:tcBorders>
              <w:top w:val="nil"/>
              <w:left w:val="dashed" w:sz="4" w:space="0" w:color="auto"/>
              <w:bottom w:val="dashed" w:sz="4" w:space="0" w:color="auto"/>
              <w:right w:val="dashed" w:sz="4" w:space="0" w:color="auto"/>
            </w:tcBorders>
            <w:vAlign w:val="center"/>
            <w:hideMark/>
          </w:tcPr>
          <w:p w14:paraId="1ACA2F3F" w14:textId="77777777" w:rsidR="00E426C4" w:rsidRDefault="00E426C4" w:rsidP="00E426C4">
            <w:pPr>
              <w:rPr>
                <w:rFonts w:ascii="Arial" w:hAnsi="Arial" w:cs="Arial"/>
                <w:i/>
                <w:iCs/>
                <w:color w:val="000000"/>
                <w:sz w:val="18"/>
                <w:szCs w:val="18"/>
              </w:rPr>
            </w:pPr>
          </w:p>
        </w:tc>
      </w:tr>
      <w:tr w:rsidR="00E426C4" w14:paraId="1BC6D26C" w14:textId="77777777" w:rsidTr="00165F89">
        <w:trPr>
          <w:trHeight w:val="300"/>
        </w:trPr>
        <w:tc>
          <w:tcPr>
            <w:tcW w:w="622" w:type="dxa"/>
            <w:vMerge/>
            <w:tcBorders>
              <w:top w:val="nil"/>
              <w:left w:val="single" w:sz="8" w:space="0" w:color="auto"/>
              <w:bottom w:val="single" w:sz="4" w:space="0" w:color="auto"/>
              <w:right w:val="single" w:sz="4" w:space="0" w:color="auto"/>
            </w:tcBorders>
            <w:vAlign w:val="center"/>
            <w:hideMark/>
          </w:tcPr>
          <w:p w14:paraId="1A06BB6D" w14:textId="77777777" w:rsidR="00E426C4" w:rsidRDefault="00E426C4" w:rsidP="00E426C4">
            <w:pPr>
              <w:rPr>
                <w:rFonts w:ascii="Arial" w:hAnsi="Arial" w:cs="Arial"/>
                <w:i/>
                <w:iCs/>
                <w:color w:val="000000"/>
                <w:sz w:val="18"/>
                <w:szCs w:val="18"/>
              </w:rPr>
            </w:pPr>
          </w:p>
        </w:tc>
        <w:tc>
          <w:tcPr>
            <w:tcW w:w="3502" w:type="dxa"/>
            <w:vMerge/>
            <w:tcBorders>
              <w:top w:val="nil"/>
              <w:left w:val="single" w:sz="4" w:space="0" w:color="auto"/>
              <w:bottom w:val="single" w:sz="4" w:space="0" w:color="auto"/>
              <w:right w:val="single" w:sz="4" w:space="0" w:color="auto"/>
            </w:tcBorders>
            <w:vAlign w:val="center"/>
            <w:hideMark/>
          </w:tcPr>
          <w:p w14:paraId="0F50FD06" w14:textId="77777777" w:rsidR="00E426C4" w:rsidRPr="00165F89" w:rsidRDefault="00E426C4" w:rsidP="00165F89">
            <w:pPr>
              <w:rPr>
                <w:rFonts w:ascii="Arial" w:hAnsi="Arial" w:cs="Arial"/>
                <w:b/>
                <w:bCs/>
                <w:i/>
                <w:iCs/>
                <w:color w:val="000000"/>
                <w:sz w:val="16"/>
                <w:szCs w:val="16"/>
              </w:rPr>
            </w:pPr>
          </w:p>
        </w:tc>
        <w:tc>
          <w:tcPr>
            <w:tcW w:w="1258" w:type="dxa"/>
            <w:tcBorders>
              <w:top w:val="nil"/>
              <w:left w:val="nil"/>
              <w:bottom w:val="single" w:sz="4" w:space="0" w:color="auto"/>
              <w:right w:val="single" w:sz="4" w:space="0" w:color="auto"/>
            </w:tcBorders>
            <w:shd w:val="clear" w:color="000000" w:fill="E7E6E6"/>
            <w:vAlign w:val="center"/>
            <w:hideMark/>
          </w:tcPr>
          <w:p w14:paraId="31077A0A" w14:textId="1FB3331E" w:rsidR="00E426C4" w:rsidRDefault="00E426C4" w:rsidP="00327AB4">
            <w:pPr>
              <w:jc w:val="center"/>
              <w:rPr>
                <w:rFonts w:ascii="Arial" w:hAnsi="Arial" w:cs="Arial"/>
                <w:i/>
                <w:iCs/>
                <w:color w:val="000000"/>
                <w:sz w:val="16"/>
                <w:szCs w:val="16"/>
              </w:rPr>
            </w:pPr>
            <w:r>
              <w:rPr>
                <w:rFonts w:ascii="Arial" w:hAnsi="Arial"/>
                <w:i/>
                <w:color w:val="000000"/>
                <w:sz w:val="16"/>
              </w:rPr>
              <w:t>3,70</w:t>
            </w:r>
            <w:r w:rsidR="00DC76D8">
              <w:rPr>
                <w:rFonts w:ascii="Arial" w:hAnsi="Arial"/>
                <w:i/>
                <w:color w:val="000000"/>
                <w:sz w:val="16"/>
              </w:rPr>
              <w:t> </w:t>
            </w:r>
            <w:r>
              <w:rPr>
                <w:rFonts w:ascii="Arial" w:hAnsi="Arial"/>
                <w:i/>
                <w:color w:val="000000"/>
                <w:sz w:val="16"/>
              </w:rPr>
              <w:t>%</w:t>
            </w:r>
          </w:p>
        </w:tc>
        <w:tc>
          <w:tcPr>
            <w:tcW w:w="1301" w:type="dxa"/>
            <w:vMerge w:val="restart"/>
            <w:tcBorders>
              <w:top w:val="nil"/>
              <w:left w:val="single" w:sz="4" w:space="0" w:color="auto"/>
              <w:bottom w:val="single" w:sz="4" w:space="0" w:color="auto"/>
              <w:right w:val="single" w:sz="8" w:space="0" w:color="auto"/>
            </w:tcBorders>
            <w:shd w:val="clear" w:color="000000" w:fill="E7E6E6"/>
            <w:vAlign w:val="center"/>
            <w:hideMark/>
          </w:tcPr>
          <w:p w14:paraId="06E1A794" w14:textId="2CD8E4F2" w:rsidR="00E426C4" w:rsidRDefault="00E426C4" w:rsidP="00327AB4">
            <w:pPr>
              <w:jc w:val="center"/>
              <w:rPr>
                <w:rFonts w:ascii="Arial" w:hAnsi="Arial" w:cs="Arial"/>
                <w:i/>
                <w:iCs/>
                <w:color w:val="000000"/>
                <w:sz w:val="16"/>
                <w:szCs w:val="16"/>
              </w:rPr>
            </w:pPr>
            <w:r>
              <w:rPr>
                <w:rFonts w:ascii="Arial" w:hAnsi="Arial"/>
                <w:i/>
                <w:color w:val="000000"/>
                <w:sz w:val="16"/>
              </w:rPr>
              <w:t>(52</w:t>
            </w:r>
            <w:r w:rsidR="00DC76D8">
              <w:rPr>
                <w:rFonts w:ascii="Arial" w:hAnsi="Arial"/>
                <w:i/>
                <w:color w:val="000000"/>
                <w:sz w:val="16"/>
              </w:rPr>
              <w:t> </w:t>
            </w:r>
            <w:r>
              <w:rPr>
                <w:rFonts w:ascii="Arial" w:hAnsi="Arial"/>
                <w:i/>
                <w:color w:val="000000"/>
                <w:sz w:val="16"/>
              </w:rPr>
              <w:t>% de la ligne</w:t>
            </w:r>
            <w:r w:rsidR="00DC76D8">
              <w:rPr>
                <w:rFonts w:ascii="Arial" w:hAnsi="Arial"/>
                <w:i/>
                <w:color w:val="000000"/>
                <w:sz w:val="16"/>
              </w:rPr>
              <w:t> </w:t>
            </w:r>
            <w:r>
              <w:rPr>
                <w:rFonts w:ascii="Arial" w:hAnsi="Arial"/>
                <w:i/>
                <w:color w:val="000000"/>
                <w:sz w:val="16"/>
              </w:rPr>
              <w:t>3)</w:t>
            </w:r>
          </w:p>
        </w:tc>
        <w:tc>
          <w:tcPr>
            <w:tcW w:w="1504" w:type="dxa"/>
            <w:vMerge/>
            <w:tcBorders>
              <w:top w:val="nil"/>
              <w:left w:val="nil"/>
              <w:bottom w:val="dashed" w:sz="4" w:space="0" w:color="auto"/>
              <w:right w:val="dashed" w:sz="4" w:space="0" w:color="auto"/>
            </w:tcBorders>
            <w:vAlign w:val="center"/>
            <w:hideMark/>
          </w:tcPr>
          <w:p w14:paraId="19E6995B" w14:textId="77777777" w:rsidR="00E426C4" w:rsidRDefault="00E426C4" w:rsidP="00E426C4">
            <w:pPr>
              <w:rPr>
                <w:rFonts w:ascii="Arial" w:hAnsi="Arial" w:cs="Arial"/>
                <w:i/>
                <w:iCs/>
                <w:color w:val="000000"/>
                <w:sz w:val="18"/>
                <w:szCs w:val="18"/>
              </w:rPr>
            </w:pPr>
          </w:p>
        </w:tc>
        <w:tc>
          <w:tcPr>
            <w:tcW w:w="1519" w:type="dxa"/>
            <w:vMerge/>
            <w:tcBorders>
              <w:top w:val="nil"/>
              <w:left w:val="dashed" w:sz="4" w:space="0" w:color="auto"/>
              <w:bottom w:val="dashed" w:sz="4" w:space="0" w:color="auto"/>
              <w:right w:val="dashed" w:sz="4" w:space="0" w:color="auto"/>
            </w:tcBorders>
            <w:vAlign w:val="center"/>
            <w:hideMark/>
          </w:tcPr>
          <w:p w14:paraId="3E960190" w14:textId="77777777" w:rsidR="00E426C4" w:rsidRDefault="00E426C4" w:rsidP="00E426C4">
            <w:pPr>
              <w:rPr>
                <w:rFonts w:ascii="Arial" w:hAnsi="Arial" w:cs="Arial"/>
                <w:i/>
                <w:iCs/>
                <w:color w:val="000000"/>
                <w:sz w:val="18"/>
                <w:szCs w:val="18"/>
              </w:rPr>
            </w:pPr>
          </w:p>
        </w:tc>
      </w:tr>
      <w:tr w:rsidR="00E426C4" w14:paraId="3D634618" w14:textId="77777777" w:rsidTr="00165F89">
        <w:trPr>
          <w:trHeight w:val="300"/>
        </w:trPr>
        <w:tc>
          <w:tcPr>
            <w:tcW w:w="622" w:type="dxa"/>
            <w:vMerge/>
            <w:tcBorders>
              <w:top w:val="nil"/>
              <w:left w:val="single" w:sz="8" w:space="0" w:color="auto"/>
              <w:bottom w:val="single" w:sz="4" w:space="0" w:color="auto"/>
              <w:right w:val="single" w:sz="4" w:space="0" w:color="auto"/>
            </w:tcBorders>
            <w:vAlign w:val="center"/>
            <w:hideMark/>
          </w:tcPr>
          <w:p w14:paraId="35833C4C" w14:textId="77777777" w:rsidR="00E426C4" w:rsidRDefault="00E426C4" w:rsidP="00E426C4">
            <w:pPr>
              <w:rPr>
                <w:rFonts w:ascii="Arial" w:hAnsi="Arial" w:cs="Arial"/>
                <w:i/>
                <w:iCs/>
                <w:color w:val="000000"/>
                <w:sz w:val="18"/>
                <w:szCs w:val="18"/>
              </w:rPr>
            </w:pPr>
          </w:p>
        </w:tc>
        <w:tc>
          <w:tcPr>
            <w:tcW w:w="3502" w:type="dxa"/>
            <w:vMerge/>
            <w:tcBorders>
              <w:top w:val="nil"/>
              <w:left w:val="single" w:sz="4" w:space="0" w:color="auto"/>
              <w:bottom w:val="single" w:sz="4" w:space="0" w:color="auto"/>
              <w:right w:val="single" w:sz="4" w:space="0" w:color="auto"/>
            </w:tcBorders>
            <w:vAlign w:val="center"/>
            <w:hideMark/>
          </w:tcPr>
          <w:p w14:paraId="06ACF8E5" w14:textId="77777777" w:rsidR="00E426C4" w:rsidRPr="00165F89" w:rsidRDefault="00E426C4" w:rsidP="00165F89">
            <w:pPr>
              <w:rPr>
                <w:rFonts w:ascii="Arial" w:hAnsi="Arial" w:cs="Arial"/>
                <w:b/>
                <w:bCs/>
                <w:i/>
                <w:iCs/>
                <w:color w:val="000000"/>
                <w:sz w:val="16"/>
                <w:szCs w:val="16"/>
              </w:rPr>
            </w:pPr>
          </w:p>
        </w:tc>
        <w:tc>
          <w:tcPr>
            <w:tcW w:w="1258" w:type="dxa"/>
            <w:tcBorders>
              <w:top w:val="nil"/>
              <w:left w:val="nil"/>
              <w:bottom w:val="single" w:sz="4" w:space="0" w:color="auto"/>
              <w:right w:val="single" w:sz="4" w:space="0" w:color="auto"/>
            </w:tcBorders>
            <w:shd w:val="clear" w:color="000000" w:fill="E7E6E6"/>
            <w:vAlign w:val="center"/>
            <w:hideMark/>
          </w:tcPr>
          <w:p w14:paraId="34D50F08" w14:textId="0EDE5458" w:rsidR="00E426C4" w:rsidRDefault="00E426C4" w:rsidP="00327AB4">
            <w:pPr>
              <w:jc w:val="center"/>
              <w:rPr>
                <w:rFonts w:ascii="Arial" w:hAnsi="Arial" w:cs="Arial"/>
                <w:i/>
                <w:iCs/>
                <w:color w:val="000000"/>
                <w:sz w:val="16"/>
                <w:szCs w:val="16"/>
              </w:rPr>
            </w:pPr>
            <w:r>
              <w:rPr>
                <w:rFonts w:ascii="Arial" w:hAnsi="Arial"/>
                <w:i/>
                <w:color w:val="000000"/>
                <w:sz w:val="16"/>
              </w:rPr>
              <w:t>(</w:t>
            </w:r>
            <w:r w:rsidR="008A08CE">
              <w:rPr>
                <w:rFonts w:ascii="Arial" w:hAnsi="Arial"/>
                <w:i/>
                <w:color w:val="000000"/>
                <w:sz w:val="16"/>
              </w:rPr>
              <w:t>RE</w:t>
            </w:r>
            <w:r w:rsidR="008A08CE" w:rsidDel="008A08CE">
              <w:rPr>
                <w:rFonts w:ascii="Arial" w:hAnsi="Arial"/>
                <w:i/>
                <w:color w:val="000000"/>
                <w:sz w:val="16"/>
              </w:rPr>
              <w:t xml:space="preserve"> </w:t>
            </w:r>
            <w:r>
              <w:rPr>
                <w:rFonts w:ascii="Arial" w:hAnsi="Arial"/>
                <w:i/>
                <w:color w:val="000000"/>
                <w:sz w:val="16"/>
              </w:rPr>
              <w:t>3 : 19</w:t>
            </w:r>
            <w:r w:rsidR="00DC76D8">
              <w:rPr>
                <w:rFonts w:ascii="Arial" w:hAnsi="Arial"/>
                <w:i/>
                <w:color w:val="000000"/>
                <w:sz w:val="16"/>
              </w:rPr>
              <w:t> </w:t>
            </w:r>
            <w:r>
              <w:rPr>
                <w:rFonts w:ascii="Arial" w:hAnsi="Arial"/>
                <w:i/>
                <w:color w:val="000000"/>
                <w:sz w:val="16"/>
              </w:rPr>
              <w:t>% de la ligne</w:t>
            </w:r>
            <w:r w:rsidR="00DC76D8">
              <w:rPr>
                <w:rFonts w:ascii="Arial" w:hAnsi="Arial"/>
                <w:i/>
                <w:color w:val="000000"/>
                <w:sz w:val="16"/>
              </w:rPr>
              <w:t> </w:t>
            </w:r>
            <w:r>
              <w:rPr>
                <w:rFonts w:ascii="Arial" w:hAnsi="Arial"/>
                <w:i/>
                <w:color w:val="000000"/>
                <w:sz w:val="16"/>
              </w:rPr>
              <w:t>3)</w:t>
            </w:r>
          </w:p>
        </w:tc>
        <w:tc>
          <w:tcPr>
            <w:tcW w:w="1301" w:type="dxa"/>
            <w:vMerge/>
            <w:tcBorders>
              <w:top w:val="nil"/>
              <w:left w:val="single" w:sz="4" w:space="0" w:color="auto"/>
              <w:bottom w:val="single" w:sz="4" w:space="0" w:color="auto"/>
              <w:right w:val="single" w:sz="8" w:space="0" w:color="auto"/>
            </w:tcBorders>
            <w:vAlign w:val="center"/>
            <w:hideMark/>
          </w:tcPr>
          <w:p w14:paraId="6CAE7554" w14:textId="77777777" w:rsidR="00E426C4" w:rsidRDefault="00E426C4" w:rsidP="00CA4765">
            <w:pPr>
              <w:jc w:val="center"/>
              <w:rPr>
                <w:rFonts w:ascii="Arial" w:hAnsi="Arial" w:cs="Arial"/>
                <w:i/>
                <w:iCs/>
                <w:color w:val="000000"/>
                <w:sz w:val="16"/>
                <w:szCs w:val="16"/>
              </w:rPr>
            </w:pPr>
          </w:p>
        </w:tc>
        <w:tc>
          <w:tcPr>
            <w:tcW w:w="1504" w:type="dxa"/>
            <w:vMerge/>
            <w:tcBorders>
              <w:top w:val="nil"/>
              <w:left w:val="nil"/>
              <w:bottom w:val="dashed" w:sz="4" w:space="0" w:color="auto"/>
              <w:right w:val="dashed" w:sz="4" w:space="0" w:color="auto"/>
            </w:tcBorders>
            <w:vAlign w:val="center"/>
            <w:hideMark/>
          </w:tcPr>
          <w:p w14:paraId="7BD80608" w14:textId="77777777" w:rsidR="00E426C4" w:rsidRDefault="00E426C4" w:rsidP="00E426C4">
            <w:pPr>
              <w:rPr>
                <w:rFonts w:ascii="Arial" w:hAnsi="Arial" w:cs="Arial"/>
                <w:i/>
                <w:iCs/>
                <w:color w:val="000000"/>
                <w:sz w:val="18"/>
                <w:szCs w:val="18"/>
              </w:rPr>
            </w:pPr>
          </w:p>
        </w:tc>
        <w:tc>
          <w:tcPr>
            <w:tcW w:w="1519" w:type="dxa"/>
            <w:vMerge/>
            <w:tcBorders>
              <w:top w:val="nil"/>
              <w:left w:val="dashed" w:sz="4" w:space="0" w:color="auto"/>
              <w:bottom w:val="dashed" w:sz="4" w:space="0" w:color="auto"/>
              <w:right w:val="dashed" w:sz="4" w:space="0" w:color="auto"/>
            </w:tcBorders>
            <w:vAlign w:val="center"/>
            <w:hideMark/>
          </w:tcPr>
          <w:p w14:paraId="296C5E1D" w14:textId="77777777" w:rsidR="00E426C4" w:rsidRDefault="00E426C4" w:rsidP="00E426C4">
            <w:pPr>
              <w:rPr>
                <w:rFonts w:ascii="Arial" w:hAnsi="Arial" w:cs="Arial"/>
                <w:i/>
                <w:iCs/>
                <w:color w:val="000000"/>
                <w:sz w:val="18"/>
                <w:szCs w:val="18"/>
              </w:rPr>
            </w:pPr>
          </w:p>
        </w:tc>
      </w:tr>
      <w:tr w:rsidR="00E426C4" w14:paraId="106B3C0C" w14:textId="77777777" w:rsidTr="00165F89">
        <w:trPr>
          <w:trHeight w:val="300"/>
        </w:trPr>
        <w:tc>
          <w:tcPr>
            <w:tcW w:w="622" w:type="dxa"/>
            <w:vMerge w:val="restart"/>
            <w:tcBorders>
              <w:top w:val="nil"/>
              <w:left w:val="single" w:sz="8" w:space="0" w:color="auto"/>
              <w:bottom w:val="single" w:sz="4" w:space="0" w:color="auto"/>
              <w:right w:val="single" w:sz="4" w:space="0" w:color="auto"/>
            </w:tcBorders>
            <w:shd w:val="clear" w:color="000000" w:fill="E7E6E6"/>
            <w:noWrap/>
            <w:vAlign w:val="center"/>
            <w:hideMark/>
          </w:tcPr>
          <w:p w14:paraId="2484CC1B" w14:textId="77777777" w:rsidR="00E426C4" w:rsidRDefault="00E426C4" w:rsidP="00E426C4">
            <w:pPr>
              <w:jc w:val="center"/>
              <w:rPr>
                <w:rFonts w:ascii="Arial" w:hAnsi="Arial" w:cs="Arial"/>
                <w:i/>
                <w:iCs/>
                <w:color w:val="000000"/>
                <w:sz w:val="18"/>
                <w:szCs w:val="18"/>
              </w:rPr>
            </w:pPr>
            <w:r>
              <w:rPr>
                <w:rFonts w:ascii="Arial" w:hAnsi="Arial"/>
                <w:i/>
                <w:color w:val="000000"/>
                <w:sz w:val="18"/>
              </w:rPr>
              <w:t> </w:t>
            </w:r>
          </w:p>
        </w:tc>
        <w:tc>
          <w:tcPr>
            <w:tcW w:w="3502" w:type="dxa"/>
            <w:vMerge w:val="restart"/>
            <w:tcBorders>
              <w:top w:val="nil"/>
              <w:left w:val="single" w:sz="4" w:space="0" w:color="auto"/>
              <w:bottom w:val="single" w:sz="4" w:space="0" w:color="auto"/>
              <w:right w:val="single" w:sz="4" w:space="0" w:color="auto"/>
            </w:tcBorders>
            <w:shd w:val="clear" w:color="000000" w:fill="E7E6E6"/>
            <w:vAlign w:val="center"/>
            <w:hideMark/>
          </w:tcPr>
          <w:p w14:paraId="1596E2EE" w14:textId="431234C0" w:rsidR="00E426C4" w:rsidRPr="00165F89" w:rsidRDefault="007F4A9E" w:rsidP="00165F89">
            <w:pPr>
              <w:rPr>
                <w:rFonts w:ascii="Arial" w:hAnsi="Arial" w:cs="Arial"/>
                <w:b/>
                <w:bCs/>
                <w:i/>
                <w:iCs/>
                <w:color w:val="000000"/>
                <w:sz w:val="16"/>
                <w:szCs w:val="16"/>
              </w:rPr>
            </w:pPr>
            <w:r w:rsidRPr="00165F89">
              <w:rPr>
                <w:rFonts w:asciiTheme="minorBidi" w:hAnsiTheme="minorBidi" w:cstheme="minorBidi"/>
                <w:b/>
                <w:bCs/>
                <w:i/>
                <w:iCs/>
                <w:color w:val="000000"/>
                <w:sz w:val="16"/>
                <w:szCs w:val="16"/>
                <w:lang w:val="fr"/>
              </w:rPr>
              <w:t>RE 2 : Bonne gouvernance de la Convention facilitée par l’amélioration du suivi, des services de gestion des connaissances et des actions de sensibilisation associés aux mécanismes de coopération internationale</w:t>
            </w:r>
          </w:p>
        </w:tc>
        <w:tc>
          <w:tcPr>
            <w:tcW w:w="1258" w:type="dxa"/>
            <w:tcBorders>
              <w:top w:val="nil"/>
              <w:left w:val="nil"/>
              <w:bottom w:val="single" w:sz="4" w:space="0" w:color="auto"/>
              <w:right w:val="single" w:sz="4" w:space="0" w:color="auto"/>
            </w:tcBorders>
            <w:shd w:val="clear" w:color="000000" w:fill="E7E6E6"/>
            <w:vAlign w:val="center"/>
            <w:hideMark/>
          </w:tcPr>
          <w:p w14:paraId="588C8400" w14:textId="356A5194" w:rsidR="00E426C4" w:rsidRDefault="00E426C4" w:rsidP="00327AB4">
            <w:pPr>
              <w:jc w:val="center"/>
              <w:rPr>
                <w:rFonts w:ascii="Arial" w:hAnsi="Arial" w:cs="Arial"/>
                <w:i/>
                <w:iCs/>
                <w:color w:val="000000"/>
                <w:sz w:val="16"/>
                <w:szCs w:val="16"/>
              </w:rPr>
            </w:pPr>
            <w:r>
              <w:rPr>
                <w:rFonts w:ascii="Arial" w:hAnsi="Arial"/>
                <w:i/>
                <w:color w:val="000000"/>
                <w:sz w:val="16"/>
              </w:rPr>
              <w:t>5,00</w:t>
            </w:r>
            <w:r w:rsidR="00DC76D8">
              <w:rPr>
                <w:rFonts w:ascii="Arial" w:hAnsi="Arial"/>
                <w:i/>
                <w:color w:val="000000"/>
                <w:sz w:val="16"/>
              </w:rPr>
              <w:t> </w:t>
            </w:r>
            <w:r>
              <w:rPr>
                <w:rFonts w:ascii="Arial" w:hAnsi="Arial"/>
                <w:i/>
                <w:color w:val="000000"/>
                <w:sz w:val="16"/>
              </w:rPr>
              <w:t>%</w:t>
            </w:r>
          </w:p>
        </w:tc>
        <w:tc>
          <w:tcPr>
            <w:tcW w:w="1301" w:type="dxa"/>
            <w:vMerge w:val="restart"/>
            <w:tcBorders>
              <w:top w:val="nil"/>
              <w:left w:val="single" w:sz="4" w:space="0" w:color="auto"/>
              <w:bottom w:val="single" w:sz="4" w:space="0" w:color="auto"/>
              <w:right w:val="single" w:sz="8" w:space="0" w:color="auto"/>
            </w:tcBorders>
            <w:shd w:val="clear" w:color="000000" w:fill="E7E6E6"/>
            <w:vAlign w:val="center"/>
            <w:hideMark/>
          </w:tcPr>
          <w:p w14:paraId="21B0CF0A" w14:textId="4AC872E2" w:rsidR="00E426C4" w:rsidRDefault="00E426C4" w:rsidP="00327AB4">
            <w:pPr>
              <w:jc w:val="center"/>
              <w:rPr>
                <w:rFonts w:ascii="Arial" w:hAnsi="Arial" w:cs="Arial"/>
                <w:i/>
                <w:iCs/>
                <w:color w:val="000000"/>
                <w:sz w:val="16"/>
                <w:szCs w:val="16"/>
              </w:rPr>
            </w:pPr>
            <w:r>
              <w:rPr>
                <w:rFonts w:ascii="Arial" w:hAnsi="Arial"/>
                <w:i/>
                <w:color w:val="000000"/>
                <w:sz w:val="16"/>
              </w:rPr>
              <w:t>9,6</w:t>
            </w:r>
            <w:r w:rsidR="00DC76D8">
              <w:rPr>
                <w:rFonts w:ascii="Arial" w:hAnsi="Arial"/>
                <w:i/>
                <w:color w:val="000000"/>
                <w:sz w:val="16"/>
              </w:rPr>
              <w:t> </w:t>
            </w:r>
            <w:r>
              <w:rPr>
                <w:rFonts w:ascii="Arial" w:hAnsi="Arial"/>
                <w:i/>
                <w:color w:val="000000"/>
                <w:sz w:val="16"/>
              </w:rPr>
              <w:t>%</w:t>
            </w:r>
          </w:p>
        </w:tc>
        <w:tc>
          <w:tcPr>
            <w:tcW w:w="1504" w:type="dxa"/>
            <w:vMerge w:val="restart"/>
            <w:tcBorders>
              <w:top w:val="nil"/>
              <w:left w:val="nil"/>
              <w:bottom w:val="dashed" w:sz="4" w:space="0" w:color="auto"/>
              <w:right w:val="dashed" w:sz="4" w:space="0" w:color="auto"/>
            </w:tcBorders>
            <w:shd w:val="clear" w:color="000000" w:fill="E7E6E6"/>
            <w:vAlign w:val="center"/>
            <w:hideMark/>
          </w:tcPr>
          <w:p w14:paraId="170380B6" w14:textId="25ECA850" w:rsidR="00E426C4" w:rsidRDefault="00E426C4" w:rsidP="00E426C4">
            <w:pPr>
              <w:jc w:val="center"/>
              <w:rPr>
                <w:rFonts w:ascii="Arial" w:hAnsi="Arial" w:cs="Arial"/>
                <w:i/>
                <w:iCs/>
                <w:color w:val="000000"/>
                <w:sz w:val="18"/>
                <w:szCs w:val="18"/>
              </w:rPr>
            </w:pPr>
            <w:r>
              <w:rPr>
                <w:rFonts w:ascii="Arial" w:hAnsi="Arial"/>
                <w:i/>
                <w:color w:val="000000"/>
                <w:sz w:val="18"/>
              </w:rPr>
              <w:t>786</w:t>
            </w:r>
            <w:r w:rsidR="00DC76D8">
              <w:rPr>
                <w:rFonts w:ascii="Arial" w:hAnsi="Arial"/>
                <w:i/>
                <w:color w:val="000000"/>
                <w:sz w:val="18"/>
              </w:rPr>
              <w:t> </w:t>
            </w:r>
            <w:r>
              <w:rPr>
                <w:rFonts w:ascii="Arial" w:hAnsi="Arial"/>
                <w:i/>
                <w:color w:val="000000"/>
                <w:sz w:val="18"/>
              </w:rPr>
              <w:t>199</w:t>
            </w:r>
            <w:r w:rsidR="00DC76D8">
              <w:rPr>
                <w:rFonts w:ascii="Arial" w:hAnsi="Arial"/>
                <w:i/>
                <w:color w:val="000000"/>
                <w:sz w:val="18"/>
              </w:rPr>
              <w:t> </w:t>
            </w:r>
            <w:r>
              <w:rPr>
                <w:rFonts w:ascii="Arial" w:hAnsi="Arial"/>
                <w:i/>
                <w:color w:val="000000"/>
                <w:sz w:val="18"/>
              </w:rPr>
              <w:t>$</w:t>
            </w:r>
          </w:p>
        </w:tc>
        <w:tc>
          <w:tcPr>
            <w:tcW w:w="1519" w:type="dxa"/>
            <w:vMerge w:val="restart"/>
            <w:tcBorders>
              <w:top w:val="nil"/>
              <w:left w:val="dashed" w:sz="4" w:space="0" w:color="auto"/>
              <w:bottom w:val="dashed" w:sz="4" w:space="0" w:color="auto"/>
              <w:right w:val="dashed" w:sz="4" w:space="0" w:color="auto"/>
            </w:tcBorders>
            <w:shd w:val="clear" w:color="000000" w:fill="E7E6E6"/>
            <w:vAlign w:val="center"/>
            <w:hideMark/>
          </w:tcPr>
          <w:p w14:paraId="7C6D83EE" w14:textId="75B7E4CA" w:rsidR="00E426C4" w:rsidRDefault="00E426C4" w:rsidP="00E426C4">
            <w:pPr>
              <w:jc w:val="center"/>
              <w:rPr>
                <w:rFonts w:ascii="Arial" w:hAnsi="Arial" w:cs="Arial"/>
                <w:i/>
                <w:iCs/>
                <w:color w:val="000000"/>
                <w:sz w:val="18"/>
                <w:szCs w:val="18"/>
              </w:rPr>
            </w:pPr>
            <w:r>
              <w:rPr>
                <w:rFonts w:ascii="Arial" w:hAnsi="Arial"/>
                <w:i/>
                <w:color w:val="000000"/>
                <w:sz w:val="18"/>
              </w:rPr>
              <w:t>196</w:t>
            </w:r>
            <w:r w:rsidR="00DC76D8">
              <w:rPr>
                <w:rFonts w:ascii="Arial" w:hAnsi="Arial"/>
                <w:i/>
                <w:color w:val="000000"/>
                <w:sz w:val="18"/>
              </w:rPr>
              <w:t> </w:t>
            </w:r>
            <w:r>
              <w:rPr>
                <w:rFonts w:ascii="Arial" w:hAnsi="Arial"/>
                <w:i/>
                <w:color w:val="000000"/>
                <w:sz w:val="18"/>
              </w:rPr>
              <w:t>550</w:t>
            </w:r>
            <w:r w:rsidR="00DC76D8">
              <w:rPr>
                <w:rFonts w:ascii="Arial" w:hAnsi="Arial"/>
                <w:i/>
                <w:color w:val="000000"/>
                <w:sz w:val="18"/>
              </w:rPr>
              <w:t> </w:t>
            </w:r>
            <w:r>
              <w:rPr>
                <w:rFonts w:ascii="Arial" w:hAnsi="Arial"/>
                <w:i/>
                <w:color w:val="000000"/>
                <w:sz w:val="18"/>
              </w:rPr>
              <w:t>$</w:t>
            </w:r>
          </w:p>
        </w:tc>
      </w:tr>
      <w:tr w:rsidR="00E426C4" w14:paraId="6AAA0BDB" w14:textId="77777777" w:rsidTr="007F4A9E">
        <w:trPr>
          <w:trHeight w:val="300"/>
        </w:trPr>
        <w:tc>
          <w:tcPr>
            <w:tcW w:w="622" w:type="dxa"/>
            <w:vMerge/>
            <w:tcBorders>
              <w:top w:val="nil"/>
              <w:left w:val="single" w:sz="8" w:space="0" w:color="auto"/>
              <w:bottom w:val="single" w:sz="4" w:space="0" w:color="auto"/>
              <w:right w:val="single" w:sz="4" w:space="0" w:color="auto"/>
            </w:tcBorders>
            <w:vAlign w:val="center"/>
            <w:hideMark/>
          </w:tcPr>
          <w:p w14:paraId="7CEB5220" w14:textId="77777777" w:rsidR="00E426C4" w:rsidRDefault="00E426C4" w:rsidP="00E426C4">
            <w:pPr>
              <w:rPr>
                <w:rFonts w:ascii="Arial" w:hAnsi="Arial" w:cs="Arial"/>
                <w:i/>
                <w:iCs/>
                <w:color w:val="000000"/>
                <w:sz w:val="18"/>
                <w:szCs w:val="18"/>
              </w:rPr>
            </w:pPr>
          </w:p>
        </w:tc>
        <w:tc>
          <w:tcPr>
            <w:tcW w:w="3502" w:type="dxa"/>
            <w:vMerge/>
            <w:tcBorders>
              <w:top w:val="nil"/>
              <w:left w:val="single" w:sz="4" w:space="0" w:color="auto"/>
              <w:bottom w:val="single" w:sz="4" w:space="0" w:color="auto"/>
              <w:right w:val="single" w:sz="4" w:space="0" w:color="auto"/>
            </w:tcBorders>
            <w:vAlign w:val="center"/>
            <w:hideMark/>
          </w:tcPr>
          <w:p w14:paraId="6ABA978C" w14:textId="77777777" w:rsidR="00E426C4" w:rsidRDefault="00E426C4" w:rsidP="00E426C4">
            <w:pPr>
              <w:rPr>
                <w:rFonts w:ascii="Arial" w:hAnsi="Arial" w:cs="Arial"/>
                <w:b/>
                <w:bCs/>
                <w:i/>
                <w:iCs/>
                <w:color w:val="000000"/>
                <w:sz w:val="16"/>
                <w:szCs w:val="16"/>
              </w:rPr>
            </w:pPr>
          </w:p>
        </w:tc>
        <w:tc>
          <w:tcPr>
            <w:tcW w:w="1258" w:type="dxa"/>
            <w:tcBorders>
              <w:top w:val="nil"/>
              <w:left w:val="nil"/>
              <w:bottom w:val="single" w:sz="4" w:space="0" w:color="auto"/>
              <w:right w:val="single" w:sz="4" w:space="0" w:color="auto"/>
            </w:tcBorders>
            <w:shd w:val="clear" w:color="000000" w:fill="E7E6E6"/>
            <w:vAlign w:val="center"/>
            <w:hideMark/>
          </w:tcPr>
          <w:p w14:paraId="1354D4DE" w14:textId="2C7E8E3B" w:rsidR="00E426C4" w:rsidRDefault="00E426C4" w:rsidP="00327AB4">
            <w:pPr>
              <w:jc w:val="center"/>
              <w:rPr>
                <w:rFonts w:ascii="Arial" w:hAnsi="Arial" w:cs="Arial"/>
                <w:i/>
                <w:iCs/>
                <w:color w:val="000000"/>
                <w:sz w:val="16"/>
                <w:szCs w:val="16"/>
              </w:rPr>
            </w:pPr>
            <w:r>
              <w:rPr>
                <w:rFonts w:ascii="Arial" w:hAnsi="Arial"/>
                <w:i/>
                <w:color w:val="000000"/>
                <w:sz w:val="16"/>
              </w:rPr>
              <w:t>(R</w:t>
            </w:r>
            <w:r w:rsidR="008A08CE">
              <w:rPr>
                <w:rFonts w:ascii="Arial" w:hAnsi="Arial"/>
                <w:i/>
                <w:color w:val="000000"/>
                <w:sz w:val="16"/>
              </w:rPr>
              <w:t>E</w:t>
            </w:r>
            <w:r w:rsidR="00DC76D8">
              <w:rPr>
                <w:rFonts w:ascii="Arial" w:hAnsi="Arial"/>
                <w:i/>
                <w:color w:val="000000"/>
                <w:sz w:val="16"/>
              </w:rPr>
              <w:t> </w:t>
            </w:r>
            <w:r>
              <w:rPr>
                <w:rFonts w:ascii="Arial" w:hAnsi="Arial"/>
                <w:i/>
                <w:color w:val="000000"/>
                <w:sz w:val="16"/>
              </w:rPr>
              <w:t>1 : 25</w:t>
            </w:r>
            <w:r w:rsidR="00DC76D8">
              <w:rPr>
                <w:rFonts w:ascii="Arial" w:hAnsi="Arial"/>
                <w:i/>
                <w:color w:val="000000"/>
                <w:sz w:val="16"/>
              </w:rPr>
              <w:t> </w:t>
            </w:r>
            <w:r>
              <w:rPr>
                <w:rFonts w:ascii="Arial" w:hAnsi="Arial"/>
                <w:i/>
                <w:color w:val="000000"/>
                <w:sz w:val="16"/>
              </w:rPr>
              <w:t>% de la ligne</w:t>
            </w:r>
            <w:r w:rsidR="00DC76D8">
              <w:rPr>
                <w:rFonts w:ascii="Arial" w:hAnsi="Arial"/>
                <w:i/>
                <w:color w:val="000000"/>
                <w:sz w:val="16"/>
              </w:rPr>
              <w:t> </w:t>
            </w:r>
            <w:r>
              <w:rPr>
                <w:rFonts w:ascii="Arial" w:hAnsi="Arial"/>
                <w:i/>
                <w:color w:val="000000"/>
                <w:sz w:val="16"/>
              </w:rPr>
              <w:t>3)</w:t>
            </w:r>
          </w:p>
        </w:tc>
        <w:tc>
          <w:tcPr>
            <w:tcW w:w="1301" w:type="dxa"/>
            <w:vMerge/>
            <w:tcBorders>
              <w:top w:val="nil"/>
              <w:left w:val="single" w:sz="4" w:space="0" w:color="auto"/>
              <w:bottom w:val="single" w:sz="4" w:space="0" w:color="auto"/>
              <w:right w:val="single" w:sz="8" w:space="0" w:color="auto"/>
            </w:tcBorders>
            <w:vAlign w:val="center"/>
            <w:hideMark/>
          </w:tcPr>
          <w:p w14:paraId="3876F78E" w14:textId="77777777" w:rsidR="00E426C4" w:rsidRDefault="00E426C4" w:rsidP="00CA4765">
            <w:pPr>
              <w:jc w:val="center"/>
              <w:rPr>
                <w:rFonts w:ascii="Arial" w:hAnsi="Arial" w:cs="Arial"/>
                <w:i/>
                <w:iCs/>
                <w:color w:val="000000"/>
                <w:sz w:val="16"/>
                <w:szCs w:val="16"/>
              </w:rPr>
            </w:pPr>
          </w:p>
        </w:tc>
        <w:tc>
          <w:tcPr>
            <w:tcW w:w="1504" w:type="dxa"/>
            <w:vMerge/>
            <w:tcBorders>
              <w:top w:val="nil"/>
              <w:left w:val="nil"/>
              <w:bottom w:val="dashed" w:sz="4" w:space="0" w:color="auto"/>
              <w:right w:val="dashed" w:sz="4" w:space="0" w:color="auto"/>
            </w:tcBorders>
            <w:vAlign w:val="center"/>
            <w:hideMark/>
          </w:tcPr>
          <w:p w14:paraId="4703D130" w14:textId="77777777" w:rsidR="00E426C4" w:rsidRDefault="00E426C4" w:rsidP="00E426C4">
            <w:pPr>
              <w:rPr>
                <w:rFonts w:ascii="Arial" w:hAnsi="Arial" w:cs="Arial"/>
                <w:i/>
                <w:iCs/>
                <w:color w:val="000000"/>
                <w:sz w:val="18"/>
                <w:szCs w:val="18"/>
              </w:rPr>
            </w:pPr>
          </w:p>
        </w:tc>
        <w:tc>
          <w:tcPr>
            <w:tcW w:w="1519" w:type="dxa"/>
            <w:vMerge/>
            <w:tcBorders>
              <w:top w:val="nil"/>
              <w:left w:val="dashed" w:sz="4" w:space="0" w:color="auto"/>
              <w:bottom w:val="dashed" w:sz="4" w:space="0" w:color="auto"/>
              <w:right w:val="dashed" w:sz="4" w:space="0" w:color="auto"/>
            </w:tcBorders>
            <w:vAlign w:val="center"/>
            <w:hideMark/>
          </w:tcPr>
          <w:p w14:paraId="787CE6AA" w14:textId="77777777" w:rsidR="00E426C4" w:rsidRDefault="00E426C4" w:rsidP="00E426C4">
            <w:pPr>
              <w:rPr>
                <w:rFonts w:ascii="Arial" w:hAnsi="Arial" w:cs="Arial"/>
                <w:i/>
                <w:iCs/>
                <w:color w:val="000000"/>
                <w:sz w:val="18"/>
                <w:szCs w:val="18"/>
              </w:rPr>
            </w:pPr>
          </w:p>
        </w:tc>
      </w:tr>
      <w:tr w:rsidR="00E426C4" w14:paraId="2D9B9EBE" w14:textId="77777777" w:rsidTr="007F4A9E">
        <w:trPr>
          <w:trHeight w:val="300"/>
        </w:trPr>
        <w:tc>
          <w:tcPr>
            <w:tcW w:w="622" w:type="dxa"/>
            <w:vMerge/>
            <w:tcBorders>
              <w:top w:val="nil"/>
              <w:left w:val="single" w:sz="8" w:space="0" w:color="auto"/>
              <w:bottom w:val="single" w:sz="4" w:space="0" w:color="auto"/>
              <w:right w:val="single" w:sz="4" w:space="0" w:color="auto"/>
            </w:tcBorders>
            <w:vAlign w:val="center"/>
            <w:hideMark/>
          </w:tcPr>
          <w:p w14:paraId="1895B364" w14:textId="77777777" w:rsidR="00E426C4" w:rsidRDefault="00E426C4" w:rsidP="00E426C4">
            <w:pPr>
              <w:rPr>
                <w:rFonts w:ascii="Arial" w:hAnsi="Arial" w:cs="Arial"/>
                <w:i/>
                <w:iCs/>
                <w:color w:val="000000"/>
                <w:sz w:val="18"/>
                <w:szCs w:val="18"/>
              </w:rPr>
            </w:pPr>
          </w:p>
        </w:tc>
        <w:tc>
          <w:tcPr>
            <w:tcW w:w="3502" w:type="dxa"/>
            <w:vMerge/>
            <w:tcBorders>
              <w:top w:val="nil"/>
              <w:left w:val="single" w:sz="4" w:space="0" w:color="auto"/>
              <w:bottom w:val="single" w:sz="4" w:space="0" w:color="auto"/>
              <w:right w:val="single" w:sz="4" w:space="0" w:color="auto"/>
            </w:tcBorders>
            <w:vAlign w:val="center"/>
            <w:hideMark/>
          </w:tcPr>
          <w:p w14:paraId="420FCD35" w14:textId="77777777" w:rsidR="00E426C4" w:rsidRDefault="00E426C4" w:rsidP="00E426C4">
            <w:pPr>
              <w:rPr>
                <w:rFonts w:ascii="Arial" w:hAnsi="Arial" w:cs="Arial"/>
                <w:b/>
                <w:bCs/>
                <w:i/>
                <w:iCs/>
                <w:color w:val="000000"/>
                <w:sz w:val="16"/>
                <w:szCs w:val="16"/>
              </w:rPr>
            </w:pPr>
          </w:p>
        </w:tc>
        <w:tc>
          <w:tcPr>
            <w:tcW w:w="1258" w:type="dxa"/>
            <w:tcBorders>
              <w:top w:val="nil"/>
              <w:left w:val="nil"/>
              <w:bottom w:val="single" w:sz="4" w:space="0" w:color="auto"/>
              <w:right w:val="single" w:sz="4" w:space="0" w:color="auto"/>
            </w:tcBorders>
            <w:shd w:val="clear" w:color="000000" w:fill="E7E6E6"/>
            <w:vAlign w:val="center"/>
            <w:hideMark/>
          </w:tcPr>
          <w:p w14:paraId="734047D6" w14:textId="29A00617" w:rsidR="00E426C4" w:rsidRDefault="00E426C4" w:rsidP="00327AB4">
            <w:pPr>
              <w:jc w:val="center"/>
              <w:rPr>
                <w:rFonts w:ascii="Arial" w:hAnsi="Arial" w:cs="Arial"/>
                <w:i/>
                <w:iCs/>
                <w:color w:val="000000"/>
                <w:sz w:val="16"/>
                <w:szCs w:val="16"/>
              </w:rPr>
            </w:pPr>
            <w:r>
              <w:rPr>
                <w:rFonts w:ascii="Arial" w:hAnsi="Arial"/>
                <w:i/>
                <w:color w:val="000000"/>
                <w:sz w:val="16"/>
              </w:rPr>
              <w:t>4,70</w:t>
            </w:r>
            <w:r w:rsidR="00DC76D8">
              <w:rPr>
                <w:rFonts w:ascii="Arial" w:hAnsi="Arial"/>
                <w:i/>
                <w:color w:val="000000"/>
                <w:sz w:val="16"/>
              </w:rPr>
              <w:t> </w:t>
            </w:r>
            <w:r>
              <w:rPr>
                <w:rFonts w:ascii="Arial" w:hAnsi="Arial"/>
                <w:i/>
                <w:color w:val="000000"/>
                <w:sz w:val="16"/>
              </w:rPr>
              <w:t>%</w:t>
            </w:r>
          </w:p>
        </w:tc>
        <w:tc>
          <w:tcPr>
            <w:tcW w:w="1301" w:type="dxa"/>
            <w:vMerge w:val="restart"/>
            <w:tcBorders>
              <w:top w:val="nil"/>
              <w:left w:val="single" w:sz="4" w:space="0" w:color="auto"/>
              <w:bottom w:val="single" w:sz="4" w:space="0" w:color="auto"/>
              <w:right w:val="single" w:sz="8" w:space="0" w:color="auto"/>
            </w:tcBorders>
            <w:shd w:val="clear" w:color="000000" w:fill="E7E6E6"/>
            <w:vAlign w:val="center"/>
            <w:hideMark/>
          </w:tcPr>
          <w:p w14:paraId="0410D7EE" w14:textId="7BBFDC1E" w:rsidR="00E426C4" w:rsidRDefault="00E426C4" w:rsidP="00327AB4">
            <w:pPr>
              <w:jc w:val="center"/>
              <w:rPr>
                <w:rFonts w:ascii="Arial" w:hAnsi="Arial" w:cs="Arial"/>
                <w:i/>
                <w:iCs/>
                <w:color w:val="000000"/>
                <w:sz w:val="16"/>
                <w:szCs w:val="16"/>
              </w:rPr>
            </w:pPr>
            <w:r>
              <w:rPr>
                <w:rFonts w:ascii="Arial" w:hAnsi="Arial"/>
                <w:i/>
                <w:color w:val="000000"/>
                <w:sz w:val="16"/>
              </w:rPr>
              <w:t>(48</w:t>
            </w:r>
            <w:r w:rsidR="00DC76D8">
              <w:rPr>
                <w:rFonts w:ascii="Arial" w:hAnsi="Arial"/>
                <w:i/>
                <w:color w:val="000000"/>
                <w:sz w:val="16"/>
              </w:rPr>
              <w:t> </w:t>
            </w:r>
            <w:r>
              <w:rPr>
                <w:rFonts w:ascii="Arial" w:hAnsi="Arial"/>
                <w:i/>
                <w:color w:val="000000"/>
                <w:sz w:val="16"/>
              </w:rPr>
              <w:t>% de la ligne</w:t>
            </w:r>
            <w:r w:rsidR="00DC76D8">
              <w:rPr>
                <w:rFonts w:ascii="Arial" w:hAnsi="Arial"/>
                <w:i/>
                <w:color w:val="000000"/>
                <w:sz w:val="16"/>
              </w:rPr>
              <w:t> </w:t>
            </w:r>
            <w:r>
              <w:rPr>
                <w:rFonts w:ascii="Arial" w:hAnsi="Arial"/>
                <w:i/>
                <w:color w:val="000000"/>
                <w:sz w:val="16"/>
              </w:rPr>
              <w:t>3)</w:t>
            </w:r>
          </w:p>
        </w:tc>
        <w:tc>
          <w:tcPr>
            <w:tcW w:w="1504" w:type="dxa"/>
            <w:vMerge/>
            <w:tcBorders>
              <w:top w:val="nil"/>
              <w:left w:val="nil"/>
              <w:bottom w:val="dashed" w:sz="4" w:space="0" w:color="auto"/>
              <w:right w:val="dashed" w:sz="4" w:space="0" w:color="auto"/>
            </w:tcBorders>
            <w:vAlign w:val="center"/>
            <w:hideMark/>
          </w:tcPr>
          <w:p w14:paraId="15386A41" w14:textId="77777777" w:rsidR="00E426C4" w:rsidRDefault="00E426C4" w:rsidP="00E426C4">
            <w:pPr>
              <w:rPr>
                <w:rFonts w:ascii="Arial" w:hAnsi="Arial" w:cs="Arial"/>
                <w:i/>
                <w:iCs/>
                <w:color w:val="000000"/>
                <w:sz w:val="18"/>
                <w:szCs w:val="18"/>
              </w:rPr>
            </w:pPr>
          </w:p>
        </w:tc>
        <w:tc>
          <w:tcPr>
            <w:tcW w:w="1519" w:type="dxa"/>
            <w:vMerge/>
            <w:tcBorders>
              <w:top w:val="nil"/>
              <w:left w:val="dashed" w:sz="4" w:space="0" w:color="auto"/>
              <w:bottom w:val="dashed" w:sz="4" w:space="0" w:color="auto"/>
              <w:right w:val="dashed" w:sz="4" w:space="0" w:color="auto"/>
            </w:tcBorders>
            <w:vAlign w:val="center"/>
            <w:hideMark/>
          </w:tcPr>
          <w:p w14:paraId="3050FA35" w14:textId="77777777" w:rsidR="00E426C4" w:rsidRDefault="00E426C4" w:rsidP="00E426C4">
            <w:pPr>
              <w:rPr>
                <w:rFonts w:ascii="Arial" w:hAnsi="Arial" w:cs="Arial"/>
                <w:i/>
                <w:iCs/>
                <w:color w:val="000000"/>
                <w:sz w:val="18"/>
                <w:szCs w:val="18"/>
              </w:rPr>
            </w:pPr>
          </w:p>
        </w:tc>
      </w:tr>
      <w:tr w:rsidR="00E426C4" w14:paraId="748754C1" w14:textId="77777777" w:rsidTr="007F4A9E">
        <w:trPr>
          <w:trHeight w:val="300"/>
        </w:trPr>
        <w:tc>
          <w:tcPr>
            <w:tcW w:w="622" w:type="dxa"/>
            <w:vMerge/>
            <w:tcBorders>
              <w:top w:val="nil"/>
              <w:left w:val="single" w:sz="8" w:space="0" w:color="auto"/>
              <w:bottom w:val="single" w:sz="4" w:space="0" w:color="auto"/>
              <w:right w:val="single" w:sz="4" w:space="0" w:color="auto"/>
            </w:tcBorders>
            <w:vAlign w:val="center"/>
            <w:hideMark/>
          </w:tcPr>
          <w:p w14:paraId="4625B08C" w14:textId="77777777" w:rsidR="00E426C4" w:rsidRDefault="00E426C4" w:rsidP="00E426C4">
            <w:pPr>
              <w:rPr>
                <w:rFonts w:ascii="Arial" w:hAnsi="Arial" w:cs="Arial"/>
                <w:i/>
                <w:iCs/>
                <w:color w:val="000000"/>
                <w:sz w:val="18"/>
                <w:szCs w:val="18"/>
              </w:rPr>
            </w:pPr>
          </w:p>
        </w:tc>
        <w:tc>
          <w:tcPr>
            <w:tcW w:w="3502" w:type="dxa"/>
            <w:vMerge/>
            <w:tcBorders>
              <w:top w:val="nil"/>
              <w:left w:val="single" w:sz="4" w:space="0" w:color="auto"/>
              <w:bottom w:val="single" w:sz="4" w:space="0" w:color="auto"/>
              <w:right w:val="single" w:sz="4" w:space="0" w:color="auto"/>
            </w:tcBorders>
            <w:vAlign w:val="center"/>
            <w:hideMark/>
          </w:tcPr>
          <w:p w14:paraId="2EF2B650" w14:textId="77777777" w:rsidR="00E426C4" w:rsidRDefault="00E426C4" w:rsidP="00E426C4">
            <w:pPr>
              <w:rPr>
                <w:rFonts w:ascii="Arial" w:hAnsi="Arial" w:cs="Arial"/>
                <w:b/>
                <w:bCs/>
                <w:i/>
                <w:iCs/>
                <w:color w:val="000000"/>
                <w:sz w:val="16"/>
                <w:szCs w:val="16"/>
              </w:rPr>
            </w:pPr>
          </w:p>
        </w:tc>
        <w:tc>
          <w:tcPr>
            <w:tcW w:w="1258" w:type="dxa"/>
            <w:tcBorders>
              <w:top w:val="nil"/>
              <w:left w:val="nil"/>
              <w:bottom w:val="single" w:sz="4" w:space="0" w:color="auto"/>
              <w:right w:val="single" w:sz="4" w:space="0" w:color="auto"/>
            </w:tcBorders>
            <w:shd w:val="clear" w:color="000000" w:fill="E7E6E6"/>
            <w:hideMark/>
          </w:tcPr>
          <w:p w14:paraId="3048F188" w14:textId="0E23372B" w:rsidR="00E426C4" w:rsidRDefault="00E426C4" w:rsidP="00E426C4">
            <w:pPr>
              <w:jc w:val="center"/>
              <w:rPr>
                <w:rFonts w:ascii="Arial" w:hAnsi="Arial" w:cs="Arial"/>
                <w:i/>
                <w:iCs/>
                <w:color w:val="000000"/>
                <w:sz w:val="16"/>
                <w:szCs w:val="16"/>
              </w:rPr>
            </w:pPr>
            <w:r>
              <w:rPr>
                <w:rFonts w:ascii="Arial" w:hAnsi="Arial"/>
                <w:i/>
                <w:color w:val="000000"/>
                <w:sz w:val="16"/>
              </w:rPr>
              <w:t>(R</w:t>
            </w:r>
            <w:r w:rsidR="008A08CE">
              <w:rPr>
                <w:rFonts w:ascii="Arial" w:hAnsi="Arial"/>
                <w:i/>
                <w:color w:val="000000"/>
                <w:sz w:val="16"/>
              </w:rPr>
              <w:t>E</w:t>
            </w:r>
            <w:r w:rsidR="00DC76D8">
              <w:rPr>
                <w:rFonts w:ascii="Arial" w:hAnsi="Arial"/>
                <w:i/>
                <w:color w:val="000000"/>
                <w:sz w:val="16"/>
              </w:rPr>
              <w:t> </w:t>
            </w:r>
            <w:r>
              <w:rPr>
                <w:rFonts w:ascii="Arial" w:hAnsi="Arial"/>
                <w:i/>
                <w:color w:val="000000"/>
                <w:sz w:val="16"/>
              </w:rPr>
              <w:t>4 : 23</w:t>
            </w:r>
            <w:r w:rsidR="00DC76D8">
              <w:rPr>
                <w:rFonts w:ascii="Arial" w:hAnsi="Arial"/>
                <w:i/>
                <w:color w:val="000000"/>
                <w:sz w:val="16"/>
              </w:rPr>
              <w:t> </w:t>
            </w:r>
            <w:r>
              <w:rPr>
                <w:rFonts w:ascii="Arial" w:hAnsi="Arial"/>
                <w:i/>
                <w:color w:val="000000"/>
                <w:sz w:val="16"/>
              </w:rPr>
              <w:t>% de la ligne</w:t>
            </w:r>
            <w:r w:rsidR="00DC76D8">
              <w:rPr>
                <w:rFonts w:ascii="Arial" w:hAnsi="Arial"/>
                <w:i/>
                <w:color w:val="000000"/>
                <w:sz w:val="16"/>
              </w:rPr>
              <w:t> </w:t>
            </w:r>
            <w:r>
              <w:rPr>
                <w:rFonts w:ascii="Arial" w:hAnsi="Arial"/>
                <w:i/>
                <w:color w:val="000000"/>
                <w:sz w:val="16"/>
              </w:rPr>
              <w:t>3)</w:t>
            </w:r>
          </w:p>
        </w:tc>
        <w:tc>
          <w:tcPr>
            <w:tcW w:w="1301" w:type="dxa"/>
            <w:vMerge/>
            <w:tcBorders>
              <w:top w:val="nil"/>
              <w:left w:val="single" w:sz="4" w:space="0" w:color="auto"/>
              <w:bottom w:val="single" w:sz="4" w:space="0" w:color="auto"/>
              <w:right w:val="single" w:sz="8" w:space="0" w:color="auto"/>
            </w:tcBorders>
            <w:vAlign w:val="center"/>
            <w:hideMark/>
          </w:tcPr>
          <w:p w14:paraId="7966B968" w14:textId="77777777" w:rsidR="00E426C4" w:rsidRDefault="00E426C4" w:rsidP="00E426C4">
            <w:pPr>
              <w:rPr>
                <w:rFonts w:ascii="Arial" w:hAnsi="Arial" w:cs="Arial"/>
                <w:i/>
                <w:iCs/>
                <w:color w:val="000000"/>
                <w:sz w:val="16"/>
                <w:szCs w:val="16"/>
              </w:rPr>
            </w:pPr>
          </w:p>
        </w:tc>
        <w:tc>
          <w:tcPr>
            <w:tcW w:w="1504" w:type="dxa"/>
            <w:vMerge/>
            <w:tcBorders>
              <w:top w:val="nil"/>
              <w:left w:val="nil"/>
              <w:bottom w:val="dashed" w:sz="4" w:space="0" w:color="auto"/>
              <w:right w:val="dashed" w:sz="4" w:space="0" w:color="auto"/>
            </w:tcBorders>
            <w:vAlign w:val="center"/>
            <w:hideMark/>
          </w:tcPr>
          <w:p w14:paraId="74E3C42A" w14:textId="77777777" w:rsidR="00E426C4" w:rsidRDefault="00E426C4" w:rsidP="00E426C4">
            <w:pPr>
              <w:rPr>
                <w:rFonts w:ascii="Arial" w:hAnsi="Arial" w:cs="Arial"/>
                <w:i/>
                <w:iCs/>
                <w:color w:val="000000"/>
                <w:sz w:val="18"/>
                <w:szCs w:val="18"/>
              </w:rPr>
            </w:pPr>
          </w:p>
        </w:tc>
        <w:tc>
          <w:tcPr>
            <w:tcW w:w="1519" w:type="dxa"/>
            <w:vMerge/>
            <w:tcBorders>
              <w:top w:val="nil"/>
              <w:left w:val="dashed" w:sz="4" w:space="0" w:color="auto"/>
              <w:bottom w:val="dashed" w:sz="4" w:space="0" w:color="auto"/>
              <w:right w:val="dashed" w:sz="4" w:space="0" w:color="auto"/>
            </w:tcBorders>
            <w:vAlign w:val="center"/>
            <w:hideMark/>
          </w:tcPr>
          <w:p w14:paraId="60E962FC" w14:textId="77777777" w:rsidR="00E426C4" w:rsidRDefault="00E426C4" w:rsidP="00E426C4">
            <w:pPr>
              <w:rPr>
                <w:rFonts w:ascii="Arial" w:hAnsi="Arial" w:cs="Arial"/>
                <w:i/>
                <w:iCs/>
                <w:color w:val="000000"/>
                <w:sz w:val="18"/>
                <w:szCs w:val="18"/>
              </w:rPr>
            </w:pPr>
          </w:p>
        </w:tc>
      </w:tr>
      <w:tr w:rsidR="00863A53" w14:paraId="306C9533" w14:textId="77777777" w:rsidTr="00E503E8">
        <w:trPr>
          <w:trHeight w:val="1263"/>
        </w:trPr>
        <w:tc>
          <w:tcPr>
            <w:tcW w:w="622" w:type="dxa"/>
            <w:tcBorders>
              <w:top w:val="nil"/>
              <w:left w:val="single" w:sz="8" w:space="0" w:color="auto"/>
              <w:bottom w:val="single" w:sz="4" w:space="0" w:color="auto"/>
              <w:right w:val="single" w:sz="4" w:space="0" w:color="auto"/>
            </w:tcBorders>
            <w:shd w:val="clear" w:color="auto" w:fill="auto"/>
            <w:noWrap/>
            <w:vAlign w:val="center"/>
            <w:hideMark/>
          </w:tcPr>
          <w:p w14:paraId="06CB6FF2" w14:textId="77777777" w:rsidR="00863A53" w:rsidRDefault="00863A53">
            <w:pPr>
              <w:ind w:firstLineChars="100" w:firstLine="180"/>
              <w:rPr>
                <w:rFonts w:ascii="Arial" w:hAnsi="Arial" w:cs="Arial"/>
                <w:color w:val="000000"/>
                <w:sz w:val="18"/>
                <w:szCs w:val="18"/>
              </w:rPr>
            </w:pPr>
            <w:r>
              <w:rPr>
                <w:rFonts w:ascii="Arial" w:hAnsi="Arial"/>
                <w:color w:val="000000"/>
                <w:sz w:val="18"/>
              </w:rPr>
              <w:t>4.</w:t>
            </w:r>
          </w:p>
        </w:tc>
        <w:tc>
          <w:tcPr>
            <w:tcW w:w="3502" w:type="dxa"/>
            <w:tcBorders>
              <w:top w:val="nil"/>
              <w:left w:val="nil"/>
              <w:bottom w:val="single" w:sz="4" w:space="0" w:color="auto"/>
              <w:right w:val="single" w:sz="4" w:space="0" w:color="auto"/>
            </w:tcBorders>
            <w:shd w:val="clear" w:color="auto" w:fill="auto"/>
            <w:vAlign w:val="center"/>
            <w:hideMark/>
          </w:tcPr>
          <w:p w14:paraId="459245E5" w14:textId="055DFA18" w:rsidR="00863A53" w:rsidRPr="00863A53" w:rsidRDefault="00863A53" w:rsidP="00863A53">
            <w:pPr>
              <w:rPr>
                <w:rFonts w:ascii="Arial" w:hAnsi="Arial" w:cs="Arial"/>
                <w:color w:val="000000"/>
                <w:sz w:val="18"/>
                <w:szCs w:val="18"/>
              </w:rPr>
            </w:pPr>
            <w:r>
              <w:rPr>
                <w:rFonts w:ascii="Arial" w:hAnsi="Arial"/>
                <w:color w:val="000000"/>
                <w:sz w:val="18"/>
              </w:rPr>
              <w:t>Participation aux sessions du Comité, de son Bureau et de ses organes subsidiaires d</w:t>
            </w:r>
            <w:r w:rsidR="00DC76D8">
              <w:rPr>
                <w:rFonts w:ascii="Arial" w:hAnsi="Arial"/>
                <w:color w:val="000000"/>
                <w:sz w:val="18"/>
              </w:rPr>
              <w:t>’</w:t>
            </w:r>
            <w:r>
              <w:rPr>
                <w:rFonts w:ascii="Arial" w:hAnsi="Arial"/>
                <w:color w:val="000000"/>
                <w:sz w:val="18"/>
              </w:rPr>
              <w:t>experts en patrimoine culturel immatériel représentant les États en développement membres du Comité</w:t>
            </w:r>
            <w:r w:rsidR="00DC76D8">
              <w:rPr>
                <w:rFonts w:ascii="Arial" w:hAnsi="Arial"/>
                <w:color w:val="000000"/>
                <w:sz w:val="18"/>
              </w:rPr>
              <w:t> </w:t>
            </w:r>
            <w:r>
              <w:rPr>
                <w:rFonts w:ascii="Arial" w:hAnsi="Arial"/>
                <w:color w:val="000000"/>
                <w:sz w:val="18"/>
              </w:rPr>
              <w:t>;</w:t>
            </w:r>
          </w:p>
        </w:tc>
        <w:tc>
          <w:tcPr>
            <w:tcW w:w="1258" w:type="dxa"/>
            <w:tcBorders>
              <w:top w:val="nil"/>
              <w:left w:val="nil"/>
              <w:bottom w:val="single" w:sz="4" w:space="0" w:color="auto"/>
              <w:right w:val="single" w:sz="4" w:space="0" w:color="auto"/>
            </w:tcBorders>
            <w:shd w:val="clear" w:color="auto" w:fill="auto"/>
            <w:vAlign w:val="center"/>
            <w:hideMark/>
          </w:tcPr>
          <w:p w14:paraId="179037C3" w14:textId="69BBB9A6" w:rsidR="00863A53" w:rsidRDefault="00863A53">
            <w:pPr>
              <w:jc w:val="center"/>
              <w:rPr>
                <w:rFonts w:ascii="Arial" w:hAnsi="Arial" w:cs="Arial"/>
                <w:color w:val="000000"/>
                <w:sz w:val="18"/>
                <w:szCs w:val="18"/>
              </w:rPr>
            </w:pPr>
            <w:r>
              <w:rPr>
                <w:rFonts w:ascii="Arial" w:hAnsi="Arial"/>
                <w:color w:val="000000"/>
                <w:sz w:val="18"/>
              </w:rPr>
              <w:t>3,10</w:t>
            </w:r>
            <w:r w:rsidR="00DC76D8">
              <w:rPr>
                <w:rFonts w:ascii="Arial" w:hAnsi="Arial"/>
                <w:color w:val="000000"/>
                <w:sz w:val="18"/>
              </w:rPr>
              <w:t> </w:t>
            </w:r>
            <w:r>
              <w:rPr>
                <w:rFonts w:ascii="Arial" w:hAnsi="Arial"/>
                <w:color w:val="000000"/>
                <w:sz w:val="18"/>
              </w:rPr>
              <w:t>%</w:t>
            </w:r>
          </w:p>
        </w:tc>
        <w:tc>
          <w:tcPr>
            <w:tcW w:w="1301" w:type="dxa"/>
            <w:tcBorders>
              <w:top w:val="nil"/>
              <w:left w:val="nil"/>
              <w:bottom w:val="single" w:sz="4" w:space="0" w:color="auto"/>
              <w:right w:val="single" w:sz="8" w:space="0" w:color="auto"/>
            </w:tcBorders>
            <w:shd w:val="clear" w:color="auto" w:fill="auto"/>
            <w:vAlign w:val="center"/>
            <w:hideMark/>
          </w:tcPr>
          <w:p w14:paraId="12B7F7F4" w14:textId="61CE17D4" w:rsidR="00863A53" w:rsidRDefault="00863A53">
            <w:pPr>
              <w:jc w:val="center"/>
              <w:rPr>
                <w:rFonts w:ascii="Arial" w:hAnsi="Arial" w:cs="Arial"/>
                <w:color w:val="000000"/>
                <w:sz w:val="18"/>
                <w:szCs w:val="18"/>
              </w:rPr>
            </w:pPr>
            <w:r>
              <w:rPr>
                <w:rFonts w:ascii="Arial" w:hAnsi="Arial"/>
                <w:color w:val="000000"/>
                <w:sz w:val="18"/>
              </w:rPr>
              <w:t>2,50</w:t>
            </w:r>
            <w:r w:rsidR="00DC76D8">
              <w:rPr>
                <w:rFonts w:ascii="Arial" w:hAnsi="Arial"/>
                <w:color w:val="000000"/>
                <w:sz w:val="18"/>
              </w:rPr>
              <w:t> </w:t>
            </w:r>
            <w:r>
              <w:rPr>
                <w:rFonts w:ascii="Arial" w:hAnsi="Arial"/>
                <w:color w:val="000000"/>
                <w:sz w:val="18"/>
              </w:rPr>
              <w:t>%</w:t>
            </w:r>
          </w:p>
        </w:tc>
        <w:tc>
          <w:tcPr>
            <w:tcW w:w="1504" w:type="dxa"/>
            <w:tcBorders>
              <w:top w:val="nil"/>
              <w:left w:val="nil"/>
              <w:bottom w:val="single" w:sz="4" w:space="0" w:color="auto"/>
              <w:right w:val="dashed" w:sz="4" w:space="0" w:color="auto"/>
            </w:tcBorders>
            <w:shd w:val="clear" w:color="auto" w:fill="auto"/>
            <w:vAlign w:val="center"/>
            <w:hideMark/>
          </w:tcPr>
          <w:p w14:paraId="36B00363" w14:textId="33F1CB2E" w:rsidR="00863A53" w:rsidRDefault="00863A53">
            <w:pPr>
              <w:jc w:val="center"/>
              <w:rPr>
                <w:rFonts w:ascii="Arial" w:hAnsi="Arial" w:cs="Arial"/>
                <w:i/>
                <w:iCs/>
                <w:color w:val="000000"/>
                <w:sz w:val="18"/>
                <w:szCs w:val="18"/>
              </w:rPr>
            </w:pPr>
            <w:r>
              <w:rPr>
                <w:rFonts w:ascii="Arial" w:hAnsi="Arial"/>
                <w:i/>
                <w:color w:val="000000"/>
                <w:sz w:val="18"/>
              </w:rPr>
              <w:t>204</w:t>
            </w:r>
            <w:r w:rsidR="00DC76D8">
              <w:rPr>
                <w:rFonts w:ascii="Arial" w:hAnsi="Arial"/>
                <w:i/>
                <w:color w:val="000000"/>
                <w:sz w:val="18"/>
              </w:rPr>
              <w:t> </w:t>
            </w:r>
            <w:r>
              <w:rPr>
                <w:rFonts w:ascii="Arial" w:hAnsi="Arial"/>
                <w:i/>
                <w:color w:val="000000"/>
                <w:sz w:val="18"/>
              </w:rPr>
              <w:t>739</w:t>
            </w:r>
            <w:r w:rsidR="00DC76D8">
              <w:rPr>
                <w:rFonts w:ascii="Arial" w:hAnsi="Arial"/>
                <w:i/>
                <w:color w:val="000000"/>
                <w:sz w:val="18"/>
              </w:rPr>
              <w:t> </w:t>
            </w:r>
            <w:r>
              <w:rPr>
                <w:rFonts w:ascii="Arial" w:hAnsi="Arial"/>
                <w:i/>
                <w:color w:val="000000"/>
                <w:sz w:val="18"/>
              </w:rPr>
              <w:t>$</w:t>
            </w:r>
          </w:p>
        </w:tc>
        <w:tc>
          <w:tcPr>
            <w:tcW w:w="1519" w:type="dxa"/>
            <w:tcBorders>
              <w:top w:val="nil"/>
              <w:left w:val="nil"/>
              <w:bottom w:val="single" w:sz="4" w:space="0" w:color="auto"/>
              <w:right w:val="dashed" w:sz="4" w:space="0" w:color="auto"/>
            </w:tcBorders>
            <w:shd w:val="clear" w:color="auto" w:fill="auto"/>
            <w:vAlign w:val="center"/>
            <w:hideMark/>
          </w:tcPr>
          <w:p w14:paraId="197ECC34" w14:textId="20B4F656" w:rsidR="00863A53" w:rsidRDefault="00863A53">
            <w:pPr>
              <w:jc w:val="center"/>
              <w:rPr>
                <w:rFonts w:ascii="Arial" w:hAnsi="Arial" w:cs="Arial"/>
                <w:i/>
                <w:iCs/>
                <w:color w:val="000000"/>
                <w:sz w:val="18"/>
                <w:szCs w:val="18"/>
              </w:rPr>
            </w:pPr>
            <w:r>
              <w:rPr>
                <w:rFonts w:ascii="Arial" w:hAnsi="Arial"/>
                <w:i/>
                <w:color w:val="000000"/>
                <w:sz w:val="18"/>
              </w:rPr>
              <w:t>51</w:t>
            </w:r>
            <w:r w:rsidR="00DC76D8">
              <w:rPr>
                <w:rFonts w:ascii="Arial" w:hAnsi="Arial"/>
                <w:i/>
                <w:color w:val="000000"/>
                <w:sz w:val="18"/>
              </w:rPr>
              <w:t> </w:t>
            </w:r>
            <w:r>
              <w:rPr>
                <w:rFonts w:ascii="Arial" w:hAnsi="Arial"/>
                <w:i/>
                <w:color w:val="000000"/>
                <w:sz w:val="18"/>
              </w:rPr>
              <w:t>185</w:t>
            </w:r>
            <w:r w:rsidR="00DC76D8">
              <w:rPr>
                <w:rFonts w:ascii="Arial" w:hAnsi="Arial"/>
                <w:i/>
                <w:color w:val="000000"/>
                <w:sz w:val="18"/>
              </w:rPr>
              <w:t> </w:t>
            </w:r>
            <w:r>
              <w:rPr>
                <w:rFonts w:ascii="Arial" w:hAnsi="Arial"/>
                <w:i/>
                <w:color w:val="000000"/>
                <w:sz w:val="18"/>
              </w:rPr>
              <w:t>$</w:t>
            </w:r>
          </w:p>
        </w:tc>
      </w:tr>
      <w:tr w:rsidR="00863A53" w14:paraId="58423D6C" w14:textId="77777777" w:rsidTr="00E503E8">
        <w:trPr>
          <w:trHeight w:val="1248"/>
        </w:trPr>
        <w:tc>
          <w:tcPr>
            <w:tcW w:w="6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A482BE" w14:textId="77777777" w:rsidR="00863A53" w:rsidRDefault="00863A53">
            <w:pPr>
              <w:ind w:firstLineChars="100" w:firstLine="180"/>
              <w:rPr>
                <w:rFonts w:ascii="Arial" w:hAnsi="Arial" w:cs="Arial"/>
                <w:color w:val="000000"/>
                <w:sz w:val="18"/>
                <w:szCs w:val="18"/>
              </w:rPr>
            </w:pPr>
            <w:r>
              <w:rPr>
                <w:rFonts w:ascii="Arial" w:hAnsi="Arial"/>
                <w:color w:val="000000"/>
                <w:sz w:val="18"/>
              </w:rPr>
              <w:lastRenderedPageBreak/>
              <w:t>5.</w:t>
            </w:r>
          </w:p>
        </w:tc>
        <w:tc>
          <w:tcPr>
            <w:tcW w:w="3502" w:type="dxa"/>
            <w:tcBorders>
              <w:top w:val="single" w:sz="4" w:space="0" w:color="auto"/>
              <w:left w:val="nil"/>
              <w:bottom w:val="single" w:sz="4" w:space="0" w:color="auto"/>
              <w:right w:val="single" w:sz="4" w:space="0" w:color="auto"/>
            </w:tcBorders>
            <w:shd w:val="clear" w:color="auto" w:fill="auto"/>
            <w:vAlign w:val="center"/>
            <w:hideMark/>
          </w:tcPr>
          <w:p w14:paraId="52389C39" w14:textId="79559953" w:rsidR="00863A53" w:rsidRPr="00863A53" w:rsidRDefault="00863A53" w:rsidP="00863A53">
            <w:pPr>
              <w:rPr>
                <w:rFonts w:ascii="Arial" w:hAnsi="Arial" w:cs="Arial"/>
                <w:color w:val="000000"/>
                <w:sz w:val="18"/>
                <w:szCs w:val="18"/>
              </w:rPr>
            </w:pPr>
            <w:r>
              <w:rPr>
                <w:rFonts w:ascii="Arial" w:hAnsi="Arial"/>
                <w:color w:val="000000"/>
                <w:sz w:val="18"/>
              </w:rPr>
              <w:t>Participation aux sessions du Comité et de ses organes consultatifs d</w:t>
            </w:r>
            <w:r w:rsidR="00DC76D8">
              <w:rPr>
                <w:rFonts w:ascii="Arial" w:hAnsi="Arial"/>
                <w:color w:val="000000"/>
                <w:sz w:val="18"/>
              </w:rPr>
              <w:t>’</w:t>
            </w:r>
            <w:r>
              <w:rPr>
                <w:rFonts w:ascii="Arial" w:hAnsi="Arial"/>
                <w:color w:val="000000"/>
                <w:sz w:val="18"/>
              </w:rPr>
              <w:t>experts en patrimoine culturel immatériel représentant les États en développement qui sont parties à la Convention mais non membres du Comité</w:t>
            </w:r>
            <w:r w:rsidR="00DC76D8">
              <w:rPr>
                <w:rFonts w:ascii="Arial" w:hAnsi="Arial"/>
                <w:color w:val="000000"/>
                <w:sz w:val="18"/>
              </w:rPr>
              <w:t> </w:t>
            </w:r>
            <w:r>
              <w:rPr>
                <w:rFonts w:ascii="Arial" w:hAnsi="Arial"/>
                <w:color w:val="000000"/>
                <w:sz w:val="18"/>
              </w:rPr>
              <w:t>;</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60CE1172" w14:textId="3A7509E4" w:rsidR="00863A53" w:rsidRDefault="00863A53">
            <w:pPr>
              <w:jc w:val="center"/>
              <w:rPr>
                <w:rFonts w:ascii="Arial" w:hAnsi="Arial" w:cs="Arial"/>
                <w:color w:val="000000"/>
                <w:sz w:val="18"/>
                <w:szCs w:val="18"/>
              </w:rPr>
            </w:pPr>
            <w:r>
              <w:rPr>
                <w:rFonts w:ascii="Arial" w:hAnsi="Arial"/>
                <w:color w:val="000000"/>
                <w:sz w:val="18"/>
              </w:rPr>
              <w:t>3,30</w:t>
            </w:r>
            <w:r w:rsidR="00DC76D8">
              <w:rPr>
                <w:rFonts w:ascii="Arial" w:hAnsi="Arial"/>
                <w:color w:val="000000"/>
                <w:sz w:val="18"/>
              </w:rPr>
              <w:t> </w:t>
            </w:r>
            <w:r>
              <w:rPr>
                <w:rFonts w:ascii="Arial" w:hAnsi="Arial"/>
                <w:color w:val="000000"/>
                <w:sz w:val="18"/>
              </w:rPr>
              <w:t>%</w:t>
            </w:r>
          </w:p>
        </w:tc>
        <w:tc>
          <w:tcPr>
            <w:tcW w:w="1301" w:type="dxa"/>
            <w:tcBorders>
              <w:top w:val="single" w:sz="4" w:space="0" w:color="auto"/>
              <w:left w:val="nil"/>
              <w:bottom w:val="single" w:sz="4" w:space="0" w:color="auto"/>
              <w:right w:val="single" w:sz="8" w:space="0" w:color="auto"/>
            </w:tcBorders>
            <w:shd w:val="clear" w:color="auto" w:fill="auto"/>
            <w:vAlign w:val="center"/>
            <w:hideMark/>
          </w:tcPr>
          <w:p w14:paraId="5C801AFA" w14:textId="37093C8E" w:rsidR="00863A53" w:rsidRDefault="00863A53">
            <w:pPr>
              <w:jc w:val="center"/>
              <w:rPr>
                <w:rFonts w:ascii="Arial" w:hAnsi="Arial" w:cs="Arial"/>
                <w:color w:val="000000"/>
                <w:sz w:val="18"/>
                <w:szCs w:val="18"/>
              </w:rPr>
            </w:pPr>
            <w:r>
              <w:rPr>
                <w:rFonts w:ascii="Arial" w:hAnsi="Arial"/>
                <w:color w:val="000000"/>
                <w:sz w:val="18"/>
              </w:rPr>
              <w:t>2,70</w:t>
            </w:r>
            <w:r w:rsidR="00DC76D8">
              <w:rPr>
                <w:rFonts w:ascii="Arial" w:hAnsi="Arial"/>
                <w:color w:val="000000"/>
                <w:sz w:val="18"/>
              </w:rPr>
              <w:t> </w:t>
            </w:r>
            <w:r>
              <w:rPr>
                <w:rFonts w:ascii="Arial" w:hAnsi="Arial"/>
                <w:color w:val="000000"/>
                <w:sz w:val="18"/>
              </w:rPr>
              <w:t>%</w:t>
            </w:r>
          </w:p>
        </w:tc>
        <w:tc>
          <w:tcPr>
            <w:tcW w:w="1504" w:type="dxa"/>
            <w:tcBorders>
              <w:top w:val="single" w:sz="4" w:space="0" w:color="auto"/>
              <w:left w:val="nil"/>
              <w:bottom w:val="dashed" w:sz="4" w:space="0" w:color="auto"/>
              <w:right w:val="dashed" w:sz="4" w:space="0" w:color="auto"/>
            </w:tcBorders>
            <w:shd w:val="clear" w:color="auto" w:fill="auto"/>
            <w:vAlign w:val="center"/>
            <w:hideMark/>
          </w:tcPr>
          <w:p w14:paraId="3997DD7C" w14:textId="138A5013" w:rsidR="00863A53" w:rsidRDefault="00863A53">
            <w:pPr>
              <w:jc w:val="center"/>
              <w:rPr>
                <w:rFonts w:ascii="Arial" w:hAnsi="Arial" w:cs="Arial"/>
                <w:i/>
                <w:iCs/>
                <w:color w:val="000000"/>
                <w:sz w:val="18"/>
                <w:szCs w:val="18"/>
              </w:rPr>
            </w:pPr>
            <w:r>
              <w:rPr>
                <w:rFonts w:ascii="Arial" w:hAnsi="Arial"/>
                <w:i/>
                <w:color w:val="000000"/>
                <w:sz w:val="18"/>
              </w:rPr>
              <w:t>221</w:t>
            </w:r>
            <w:r w:rsidR="00DC76D8">
              <w:rPr>
                <w:rFonts w:ascii="Arial" w:hAnsi="Arial"/>
                <w:i/>
                <w:color w:val="000000"/>
                <w:sz w:val="18"/>
              </w:rPr>
              <w:t> </w:t>
            </w:r>
            <w:r>
              <w:rPr>
                <w:rFonts w:ascii="Arial" w:hAnsi="Arial"/>
                <w:i/>
                <w:color w:val="000000"/>
                <w:sz w:val="18"/>
              </w:rPr>
              <w:t>119</w:t>
            </w:r>
            <w:r w:rsidR="00DC76D8">
              <w:rPr>
                <w:rFonts w:ascii="Arial" w:hAnsi="Arial"/>
                <w:i/>
                <w:color w:val="000000"/>
                <w:sz w:val="18"/>
              </w:rPr>
              <w:t> </w:t>
            </w:r>
            <w:r>
              <w:rPr>
                <w:rFonts w:ascii="Arial" w:hAnsi="Arial"/>
                <w:i/>
                <w:color w:val="000000"/>
                <w:sz w:val="18"/>
              </w:rPr>
              <w:t>$</w:t>
            </w:r>
          </w:p>
        </w:tc>
        <w:tc>
          <w:tcPr>
            <w:tcW w:w="1519" w:type="dxa"/>
            <w:tcBorders>
              <w:top w:val="single" w:sz="4" w:space="0" w:color="auto"/>
              <w:left w:val="nil"/>
              <w:bottom w:val="dashed" w:sz="4" w:space="0" w:color="auto"/>
              <w:right w:val="dashed" w:sz="4" w:space="0" w:color="auto"/>
            </w:tcBorders>
            <w:shd w:val="clear" w:color="auto" w:fill="auto"/>
            <w:vAlign w:val="center"/>
            <w:hideMark/>
          </w:tcPr>
          <w:p w14:paraId="1218B0C5" w14:textId="6722F984" w:rsidR="00863A53" w:rsidRDefault="00863A53">
            <w:pPr>
              <w:jc w:val="center"/>
              <w:rPr>
                <w:rFonts w:ascii="Arial" w:hAnsi="Arial" w:cs="Arial"/>
                <w:i/>
                <w:iCs/>
                <w:color w:val="000000"/>
                <w:sz w:val="18"/>
                <w:szCs w:val="18"/>
              </w:rPr>
            </w:pPr>
            <w:r>
              <w:rPr>
                <w:rFonts w:ascii="Arial" w:hAnsi="Arial"/>
                <w:i/>
                <w:color w:val="000000"/>
                <w:sz w:val="18"/>
              </w:rPr>
              <w:t>55</w:t>
            </w:r>
            <w:r w:rsidR="00DC76D8">
              <w:rPr>
                <w:rFonts w:ascii="Arial" w:hAnsi="Arial"/>
                <w:i/>
                <w:color w:val="000000"/>
                <w:sz w:val="18"/>
              </w:rPr>
              <w:t> </w:t>
            </w:r>
            <w:r>
              <w:rPr>
                <w:rFonts w:ascii="Arial" w:hAnsi="Arial"/>
                <w:i/>
                <w:color w:val="000000"/>
                <w:sz w:val="18"/>
              </w:rPr>
              <w:t>280</w:t>
            </w:r>
            <w:r w:rsidR="00DC76D8">
              <w:rPr>
                <w:rFonts w:ascii="Arial" w:hAnsi="Arial"/>
                <w:i/>
                <w:color w:val="000000"/>
                <w:sz w:val="18"/>
              </w:rPr>
              <w:t> </w:t>
            </w:r>
            <w:r>
              <w:rPr>
                <w:rFonts w:ascii="Arial" w:hAnsi="Arial"/>
                <w:i/>
                <w:color w:val="000000"/>
                <w:sz w:val="18"/>
              </w:rPr>
              <w:t>$</w:t>
            </w:r>
          </w:p>
        </w:tc>
      </w:tr>
      <w:tr w:rsidR="00863A53" w14:paraId="046BD254" w14:textId="77777777" w:rsidTr="007F4A9E">
        <w:trPr>
          <w:trHeight w:val="1925"/>
        </w:trPr>
        <w:tc>
          <w:tcPr>
            <w:tcW w:w="622" w:type="dxa"/>
            <w:tcBorders>
              <w:top w:val="nil"/>
              <w:left w:val="single" w:sz="8" w:space="0" w:color="auto"/>
              <w:bottom w:val="single" w:sz="4" w:space="0" w:color="auto"/>
              <w:right w:val="single" w:sz="4" w:space="0" w:color="auto"/>
            </w:tcBorders>
            <w:shd w:val="clear" w:color="auto" w:fill="auto"/>
            <w:noWrap/>
            <w:vAlign w:val="center"/>
            <w:hideMark/>
          </w:tcPr>
          <w:p w14:paraId="003B397F" w14:textId="77777777" w:rsidR="00863A53" w:rsidRDefault="00863A53">
            <w:pPr>
              <w:ind w:firstLineChars="100" w:firstLine="180"/>
              <w:rPr>
                <w:rFonts w:ascii="Arial" w:hAnsi="Arial" w:cs="Arial"/>
                <w:color w:val="000000"/>
                <w:sz w:val="18"/>
                <w:szCs w:val="18"/>
              </w:rPr>
            </w:pPr>
            <w:r>
              <w:rPr>
                <w:rFonts w:ascii="Arial" w:hAnsi="Arial"/>
                <w:color w:val="000000"/>
                <w:sz w:val="18"/>
              </w:rPr>
              <w:t>6.</w:t>
            </w:r>
          </w:p>
        </w:tc>
        <w:tc>
          <w:tcPr>
            <w:tcW w:w="3502" w:type="dxa"/>
            <w:tcBorders>
              <w:top w:val="nil"/>
              <w:left w:val="nil"/>
              <w:bottom w:val="single" w:sz="4" w:space="0" w:color="auto"/>
              <w:right w:val="single" w:sz="4" w:space="0" w:color="auto"/>
            </w:tcBorders>
            <w:shd w:val="clear" w:color="auto" w:fill="auto"/>
            <w:vAlign w:val="center"/>
            <w:hideMark/>
          </w:tcPr>
          <w:p w14:paraId="7B1967C5" w14:textId="1E77E834" w:rsidR="00863A53" w:rsidRPr="00863A53" w:rsidRDefault="007F4A9E" w:rsidP="00863A53">
            <w:pPr>
              <w:rPr>
                <w:rFonts w:ascii="Arial" w:hAnsi="Arial" w:cs="Arial"/>
                <w:color w:val="000000"/>
                <w:sz w:val="18"/>
                <w:szCs w:val="18"/>
              </w:rPr>
            </w:pPr>
            <w:r w:rsidRPr="005339C4">
              <w:rPr>
                <w:rFonts w:asciiTheme="minorBidi" w:hAnsiTheme="minorBidi" w:cstheme="minorBidi"/>
                <w:color w:val="000000"/>
                <w:sz w:val="18"/>
                <w:szCs w:val="18"/>
                <w:lang w:val="fr"/>
              </w:rPr>
              <w:t>Participation aux sessions du Comité, de son Bureau et de ses organes consultatifs d</w:t>
            </w:r>
            <w:r>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entités publiques ou privés et de personnes physiques, notamment de membres de communautés ou de groupes, qui ont été invités par le Comité à titre consultatif sur des questions spécifiques, ainsi que d</w:t>
            </w:r>
            <w:r>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experts du patrimoine culturel immatériel représentant des ONG accréditées de pays en développement ;</w:t>
            </w:r>
          </w:p>
        </w:tc>
        <w:tc>
          <w:tcPr>
            <w:tcW w:w="1258" w:type="dxa"/>
            <w:tcBorders>
              <w:top w:val="nil"/>
              <w:left w:val="nil"/>
              <w:bottom w:val="single" w:sz="4" w:space="0" w:color="auto"/>
              <w:right w:val="single" w:sz="4" w:space="0" w:color="auto"/>
            </w:tcBorders>
            <w:shd w:val="clear" w:color="auto" w:fill="auto"/>
            <w:vAlign w:val="center"/>
            <w:hideMark/>
          </w:tcPr>
          <w:p w14:paraId="18AED7F9" w14:textId="7864ED6C" w:rsidR="00863A53" w:rsidRDefault="00863A53">
            <w:pPr>
              <w:jc w:val="center"/>
              <w:rPr>
                <w:rFonts w:ascii="Arial" w:hAnsi="Arial" w:cs="Arial"/>
                <w:color w:val="000000"/>
                <w:sz w:val="18"/>
                <w:szCs w:val="18"/>
              </w:rPr>
            </w:pPr>
            <w:r>
              <w:rPr>
                <w:rFonts w:ascii="Arial" w:hAnsi="Arial"/>
                <w:color w:val="000000"/>
                <w:sz w:val="18"/>
              </w:rPr>
              <w:t>3,30</w:t>
            </w:r>
            <w:r w:rsidR="00DC76D8">
              <w:rPr>
                <w:rFonts w:ascii="Arial" w:hAnsi="Arial"/>
                <w:color w:val="000000"/>
                <w:sz w:val="18"/>
              </w:rPr>
              <w:t> </w:t>
            </w:r>
            <w:r>
              <w:rPr>
                <w:rFonts w:ascii="Arial" w:hAnsi="Arial"/>
                <w:color w:val="000000"/>
                <w:sz w:val="18"/>
              </w:rPr>
              <w:t>%</w:t>
            </w:r>
          </w:p>
        </w:tc>
        <w:tc>
          <w:tcPr>
            <w:tcW w:w="1301" w:type="dxa"/>
            <w:tcBorders>
              <w:top w:val="nil"/>
              <w:left w:val="nil"/>
              <w:bottom w:val="single" w:sz="4" w:space="0" w:color="auto"/>
              <w:right w:val="single" w:sz="8" w:space="0" w:color="auto"/>
            </w:tcBorders>
            <w:shd w:val="clear" w:color="auto" w:fill="auto"/>
            <w:vAlign w:val="center"/>
            <w:hideMark/>
          </w:tcPr>
          <w:p w14:paraId="06A0206F" w14:textId="52F54045" w:rsidR="00863A53" w:rsidRDefault="00863A53">
            <w:pPr>
              <w:jc w:val="center"/>
              <w:rPr>
                <w:rFonts w:ascii="Arial" w:hAnsi="Arial" w:cs="Arial"/>
                <w:color w:val="000000"/>
                <w:sz w:val="18"/>
                <w:szCs w:val="18"/>
              </w:rPr>
            </w:pPr>
            <w:r>
              <w:rPr>
                <w:rFonts w:ascii="Arial" w:hAnsi="Arial"/>
                <w:color w:val="000000"/>
                <w:sz w:val="18"/>
              </w:rPr>
              <w:t>2,70</w:t>
            </w:r>
            <w:r w:rsidR="00DC76D8">
              <w:rPr>
                <w:rFonts w:ascii="Arial" w:hAnsi="Arial"/>
                <w:color w:val="000000"/>
                <w:sz w:val="18"/>
              </w:rPr>
              <w:t> </w:t>
            </w:r>
            <w:r>
              <w:rPr>
                <w:rFonts w:ascii="Arial" w:hAnsi="Arial"/>
                <w:color w:val="000000"/>
                <w:sz w:val="18"/>
              </w:rPr>
              <w:t>%</w:t>
            </w:r>
          </w:p>
        </w:tc>
        <w:tc>
          <w:tcPr>
            <w:tcW w:w="1504" w:type="dxa"/>
            <w:tcBorders>
              <w:top w:val="nil"/>
              <w:left w:val="nil"/>
              <w:bottom w:val="dashed" w:sz="4" w:space="0" w:color="auto"/>
              <w:right w:val="dashed" w:sz="4" w:space="0" w:color="auto"/>
            </w:tcBorders>
            <w:shd w:val="clear" w:color="auto" w:fill="auto"/>
            <w:vAlign w:val="center"/>
            <w:hideMark/>
          </w:tcPr>
          <w:p w14:paraId="480905E9" w14:textId="62D708AA" w:rsidR="00863A53" w:rsidRDefault="00863A53">
            <w:pPr>
              <w:jc w:val="center"/>
              <w:rPr>
                <w:rFonts w:ascii="Arial" w:hAnsi="Arial" w:cs="Arial"/>
                <w:i/>
                <w:iCs/>
                <w:color w:val="000000"/>
                <w:sz w:val="18"/>
                <w:szCs w:val="18"/>
              </w:rPr>
            </w:pPr>
            <w:r>
              <w:rPr>
                <w:rFonts w:ascii="Arial" w:hAnsi="Arial"/>
                <w:i/>
                <w:color w:val="000000"/>
                <w:sz w:val="18"/>
              </w:rPr>
              <w:t>221</w:t>
            </w:r>
            <w:r w:rsidR="00DC76D8">
              <w:rPr>
                <w:rFonts w:ascii="Arial" w:hAnsi="Arial"/>
                <w:i/>
                <w:color w:val="000000"/>
                <w:sz w:val="18"/>
              </w:rPr>
              <w:t> </w:t>
            </w:r>
            <w:r>
              <w:rPr>
                <w:rFonts w:ascii="Arial" w:hAnsi="Arial"/>
                <w:i/>
                <w:color w:val="000000"/>
                <w:sz w:val="18"/>
              </w:rPr>
              <w:t>119</w:t>
            </w:r>
            <w:r w:rsidR="00DC76D8">
              <w:rPr>
                <w:rFonts w:ascii="Arial" w:hAnsi="Arial"/>
                <w:i/>
                <w:color w:val="000000"/>
                <w:sz w:val="18"/>
              </w:rPr>
              <w:t> </w:t>
            </w:r>
            <w:r>
              <w:rPr>
                <w:rFonts w:ascii="Arial" w:hAnsi="Arial"/>
                <w:i/>
                <w:color w:val="000000"/>
                <w:sz w:val="18"/>
              </w:rPr>
              <w:t>$</w:t>
            </w:r>
          </w:p>
        </w:tc>
        <w:tc>
          <w:tcPr>
            <w:tcW w:w="1519" w:type="dxa"/>
            <w:tcBorders>
              <w:top w:val="nil"/>
              <w:left w:val="nil"/>
              <w:bottom w:val="dashed" w:sz="4" w:space="0" w:color="auto"/>
              <w:right w:val="dashed" w:sz="4" w:space="0" w:color="auto"/>
            </w:tcBorders>
            <w:shd w:val="clear" w:color="auto" w:fill="auto"/>
            <w:vAlign w:val="center"/>
            <w:hideMark/>
          </w:tcPr>
          <w:p w14:paraId="1D348F58" w14:textId="7E7DB2F6" w:rsidR="00863A53" w:rsidRDefault="00863A53">
            <w:pPr>
              <w:jc w:val="center"/>
              <w:rPr>
                <w:rFonts w:ascii="Arial" w:hAnsi="Arial" w:cs="Arial"/>
                <w:i/>
                <w:iCs/>
                <w:color w:val="000000"/>
                <w:sz w:val="18"/>
                <w:szCs w:val="18"/>
              </w:rPr>
            </w:pPr>
            <w:r>
              <w:rPr>
                <w:rFonts w:ascii="Arial" w:hAnsi="Arial"/>
                <w:i/>
                <w:color w:val="000000"/>
                <w:sz w:val="18"/>
              </w:rPr>
              <w:t>55</w:t>
            </w:r>
            <w:r w:rsidR="00DC76D8">
              <w:rPr>
                <w:rFonts w:ascii="Arial" w:hAnsi="Arial"/>
                <w:i/>
                <w:color w:val="000000"/>
                <w:sz w:val="18"/>
              </w:rPr>
              <w:t> </w:t>
            </w:r>
            <w:r>
              <w:rPr>
                <w:rFonts w:ascii="Arial" w:hAnsi="Arial"/>
                <w:i/>
                <w:color w:val="000000"/>
                <w:sz w:val="18"/>
              </w:rPr>
              <w:t>280</w:t>
            </w:r>
            <w:r w:rsidR="00DC76D8">
              <w:rPr>
                <w:rFonts w:ascii="Arial" w:hAnsi="Arial"/>
                <w:i/>
                <w:color w:val="000000"/>
                <w:sz w:val="18"/>
              </w:rPr>
              <w:t> </w:t>
            </w:r>
            <w:r>
              <w:rPr>
                <w:rFonts w:ascii="Arial" w:hAnsi="Arial"/>
                <w:i/>
                <w:color w:val="000000"/>
                <w:sz w:val="18"/>
              </w:rPr>
              <w:t>$</w:t>
            </w:r>
          </w:p>
        </w:tc>
      </w:tr>
      <w:tr w:rsidR="00863A53" w14:paraId="5BE41C30" w14:textId="77777777" w:rsidTr="007F4A9E">
        <w:trPr>
          <w:trHeight w:val="767"/>
        </w:trPr>
        <w:tc>
          <w:tcPr>
            <w:tcW w:w="622" w:type="dxa"/>
            <w:tcBorders>
              <w:top w:val="nil"/>
              <w:left w:val="single" w:sz="8" w:space="0" w:color="auto"/>
              <w:bottom w:val="single" w:sz="4" w:space="0" w:color="auto"/>
              <w:right w:val="single" w:sz="4" w:space="0" w:color="auto"/>
            </w:tcBorders>
            <w:shd w:val="clear" w:color="auto" w:fill="auto"/>
            <w:noWrap/>
            <w:vAlign w:val="center"/>
            <w:hideMark/>
          </w:tcPr>
          <w:p w14:paraId="37708C33" w14:textId="77777777" w:rsidR="00863A53" w:rsidRDefault="00863A53">
            <w:pPr>
              <w:ind w:firstLineChars="100" w:firstLine="180"/>
              <w:rPr>
                <w:rFonts w:ascii="Arial" w:hAnsi="Arial" w:cs="Arial"/>
                <w:color w:val="000000"/>
                <w:sz w:val="18"/>
                <w:szCs w:val="18"/>
              </w:rPr>
            </w:pPr>
            <w:r>
              <w:rPr>
                <w:rFonts w:ascii="Arial" w:hAnsi="Arial"/>
                <w:color w:val="000000"/>
                <w:sz w:val="18"/>
              </w:rPr>
              <w:t>7.</w:t>
            </w:r>
          </w:p>
        </w:tc>
        <w:tc>
          <w:tcPr>
            <w:tcW w:w="3502" w:type="dxa"/>
            <w:tcBorders>
              <w:top w:val="nil"/>
              <w:left w:val="nil"/>
              <w:bottom w:val="single" w:sz="4" w:space="0" w:color="auto"/>
              <w:right w:val="single" w:sz="4" w:space="0" w:color="auto"/>
            </w:tcBorders>
            <w:shd w:val="clear" w:color="auto" w:fill="auto"/>
            <w:vAlign w:val="center"/>
            <w:hideMark/>
          </w:tcPr>
          <w:p w14:paraId="73BF5664" w14:textId="26436F8B" w:rsidR="00863A53" w:rsidRPr="00863A53" w:rsidRDefault="00863A53" w:rsidP="00863A53">
            <w:pPr>
              <w:rPr>
                <w:rFonts w:ascii="Arial" w:hAnsi="Arial" w:cs="Arial"/>
                <w:color w:val="000000"/>
                <w:sz w:val="18"/>
                <w:szCs w:val="18"/>
              </w:rPr>
            </w:pPr>
            <w:r>
              <w:rPr>
                <w:rFonts w:ascii="Arial" w:hAnsi="Arial"/>
                <w:color w:val="000000"/>
                <w:sz w:val="18"/>
              </w:rPr>
              <w:t>Coûts des services consultatifs à fournir à la demande du Comité</w:t>
            </w:r>
            <w:r w:rsidR="007F4A9E">
              <w:rPr>
                <w:rFonts w:ascii="Arial" w:hAnsi="Arial"/>
                <w:color w:val="000000"/>
                <w:sz w:val="18"/>
              </w:rPr>
              <w:t>.</w:t>
            </w:r>
          </w:p>
        </w:tc>
        <w:tc>
          <w:tcPr>
            <w:tcW w:w="1258" w:type="dxa"/>
            <w:tcBorders>
              <w:top w:val="nil"/>
              <w:left w:val="nil"/>
              <w:bottom w:val="single" w:sz="4" w:space="0" w:color="auto"/>
              <w:right w:val="single" w:sz="4" w:space="0" w:color="auto"/>
            </w:tcBorders>
            <w:shd w:val="clear" w:color="auto" w:fill="auto"/>
            <w:vAlign w:val="center"/>
            <w:hideMark/>
          </w:tcPr>
          <w:p w14:paraId="0E6240AE" w14:textId="25AF709C" w:rsidR="00863A53" w:rsidRDefault="00863A53">
            <w:pPr>
              <w:jc w:val="center"/>
              <w:rPr>
                <w:rFonts w:ascii="Arial" w:hAnsi="Arial" w:cs="Arial"/>
                <w:color w:val="000000"/>
                <w:sz w:val="18"/>
                <w:szCs w:val="18"/>
              </w:rPr>
            </w:pPr>
            <w:r>
              <w:rPr>
                <w:rFonts w:ascii="Arial" w:hAnsi="Arial"/>
                <w:color w:val="000000"/>
                <w:sz w:val="18"/>
              </w:rPr>
              <w:t>7,70</w:t>
            </w:r>
            <w:r w:rsidR="00DC76D8">
              <w:rPr>
                <w:rFonts w:ascii="Arial" w:hAnsi="Arial"/>
                <w:color w:val="000000"/>
                <w:sz w:val="18"/>
              </w:rPr>
              <w:t> </w:t>
            </w:r>
            <w:r>
              <w:rPr>
                <w:rFonts w:ascii="Arial" w:hAnsi="Arial"/>
                <w:color w:val="000000"/>
                <w:sz w:val="18"/>
              </w:rPr>
              <w:t>%</w:t>
            </w:r>
          </w:p>
        </w:tc>
        <w:tc>
          <w:tcPr>
            <w:tcW w:w="1301" w:type="dxa"/>
            <w:tcBorders>
              <w:top w:val="nil"/>
              <w:left w:val="nil"/>
              <w:bottom w:val="single" w:sz="4" w:space="0" w:color="auto"/>
              <w:right w:val="single" w:sz="8" w:space="0" w:color="auto"/>
            </w:tcBorders>
            <w:shd w:val="clear" w:color="auto" w:fill="auto"/>
            <w:vAlign w:val="center"/>
            <w:hideMark/>
          </w:tcPr>
          <w:p w14:paraId="6A57FA8C" w14:textId="567FC678" w:rsidR="00863A53" w:rsidRDefault="00863A53">
            <w:pPr>
              <w:jc w:val="center"/>
              <w:rPr>
                <w:rFonts w:ascii="Arial" w:hAnsi="Arial" w:cs="Arial"/>
                <w:color w:val="000000"/>
                <w:sz w:val="18"/>
                <w:szCs w:val="18"/>
              </w:rPr>
            </w:pPr>
            <w:r>
              <w:rPr>
                <w:rFonts w:ascii="Arial" w:hAnsi="Arial"/>
                <w:color w:val="000000"/>
                <w:sz w:val="18"/>
              </w:rPr>
              <w:t>7,00</w:t>
            </w:r>
            <w:r w:rsidR="00DC76D8">
              <w:rPr>
                <w:rFonts w:ascii="Arial" w:hAnsi="Arial"/>
                <w:color w:val="000000"/>
                <w:sz w:val="18"/>
              </w:rPr>
              <w:t> </w:t>
            </w:r>
            <w:r>
              <w:rPr>
                <w:rFonts w:ascii="Arial" w:hAnsi="Arial"/>
                <w:color w:val="000000"/>
                <w:sz w:val="18"/>
              </w:rPr>
              <w:t>%</w:t>
            </w:r>
          </w:p>
        </w:tc>
        <w:tc>
          <w:tcPr>
            <w:tcW w:w="1504" w:type="dxa"/>
            <w:tcBorders>
              <w:top w:val="nil"/>
              <w:left w:val="nil"/>
              <w:bottom w:val="dashed" w:sz="4" w:space="0" w:color="auto"/>
              <w:right w:val="dashed" w:sz="4" w:space="0" w:color="auto"/>
            </w:tcBorders>
            <w:shd w:val="clear" w:color="auto" w:fill="auto"/>
            <w:vAlign w:val="center"/>
            <w:hideMark/>
          </w:tcPr>
          <w:p w14:paraId="4C33B48F" w14:textId="5005E851" w:rsidR="00863A53" w:rsidRDefault="00863A53">
            <w:pPr>
              <w:jc w:val="center"/>
              <w:rPr>
                <w:rFonts w:ascii="Arial" w:hAnsi="Arial" w:cs="Arial"/>
                <w:i/>
                <w:iCs/>
                <w:color w:val="000000"/>
                <w:sz w:val="18"/>
                <w:szCs w:val="18"/>
              </w:rPr>
            </w:pPr>
            <w:r>
              <w:rPr>
                <w:rFonts w:ascii="Arial" w:hAnsi="Arial"/>
                <w:i/>
                <w:color w:val="000000"/>
                <w:sz w:val="18"/>
              </w:rPr>
              <w:t>573</w:t>
            </w:r>
            <w:r w:rsidR="00DC76D8">
              <w:rPr>
                <w:rFonts w:ascii="Arial" w:hAnsi="Arial"/>
                <w:i/>
                <w:color w:val="000000"/>
                <w:sz w:val="18"/>
              </w:rPr>
              <w:t> </w:t>
            </w:r>
            <w:r>
              <w:rPr>
                <w:rFonts w:ascii="Arial" w:hAnsi="Arial"/>
                <w:i/>
                <w:color w:val="000000"/>
                <w:sz w:val="18"/>
              </w:rPr>
              <w:t>270</w:t>
            </w:r>
            <w:r w:rsidR="00DC76D8">
              <w:rPr>
                <w:rFonts w:ascii="Arial" w:hAnsi="Arial"/>
                <w:i/>
                <w:color w:val="000000"/>
                <w:sz w:val="18"/>
              </w:rPr>
              <w:t> </w:t>
            </w:r>
            <w:r>
              <w:rPr>
                <w:rFonts w:ascii="Arial" w:hAnsi="Arial"/>
                <w:i/>
                <w:color w:val="000000"/>
                <w:sz w:val="18"/>
              </w:rPr>
              <w:t>$</w:t>
            </w:r>
          </w:p>
        </w:tc>
        <w:tc>
          <w:tcPr>
            <w:tcW w:w="1519" w:type="dxa"/>
            <w:tcBorders>
              <w:top w:val="nil"/>
              <w:left w:val="nil"/>
              <w:bottom w:val="dashed" w:sz="4" w:space="0" w:color="auto"/>
              <w:right w:val="dashed" w:sz="4" w:space="0" w:color="auto"/>
            </w:tcBorders>
            <w:shd w:val="clear" w:color="auto" w:fill="auto"/>
            <w:vAlign w:val="center"/>
            <w:hideMark/>
          </w:tcPr>
          <w:p w14:paraId="76A2BAC5" w14:textId="73955D00" w:rsidR="00863A53" w:rsidRDefault="00863A53">
            <w:pPr>
              <w:jc w:val="center"/>
              <w:rPr>
                <w:rFonts w:ascii="Arial" w:hAnsi="Arial" w:cs="Arial"/>
                <w:i/>
                <w:iCs/>
                <w:color w:val="000000"/>
                <w:sz w:val="18"/>
                <w:szCs w:val="18"/>
              </w:rPr>
            </w:pPr>
            <w:r>
              <w:rPr>
                <w:rFonts w:ascii="Arial" w:hAnsi="Arial"/>
                <w:i/>
                <w:color w:val="000000"/>
                <w:sz w:val="18"/>
              </w:rPr>
              <w:t>143</w:t>
            </w:r>
            <w:r w:rsidR="00DC76D8">
              <w:rPr>
                <w:rFonts w:ascii="Arial" w:hAnsi="Arial"/>
                <w:i/>
                <w:color w:val="000000"/>
                <w:sz w:val="18"/>
              </w:rPr>
              <w:t> </w:t>
            </w:r>
            <w:r>
              <w:rPr>
                <w:rFonts w:ascii="Arial" w:hAnsi="Arial"/>
                <w:i/>
                <w:color w:val="000000"/>
                <w:sz w:val="18"/>
              </w:rPr>
              <w:t>318</w:t>
            </w:r>
            <w:r w:rsidR="00DC76D8">
              <w:rPr>
                <w:rFonts w:ascii="Arial" w:hAnsi="Arial"/>
                <w:i/>
                <w:color w:val="000000"/>
                <w:sz w:val="18"/>
              </w:rPr>
              <w:t> </w:t>
            </w:r>
            <w:r>
              <w:rPr>
                <w:rFonts w:ascii="Arial" w:hAnsi="Arial"/>
                <w:i/>
                <w:color w:val="000000"/>
                <w:sz w:val="18"/>
              </w:rPr>
              <w:t>$</w:t>
            </w:r>
          </w:p>
        </w:tc>
      </w:tr>
      <w:tr w:rsidR="00863A53" w14:paraId="79424656" w14:textId="77777777" w:rsidTr="007F4A9E">
        <w:trPr>
          <w:trHeight w:val="300"/>
        </w:trPr>
        <w:tc>
          <w:tcPr>
            <w:tcW w:w="622" w:type="dxa"/>
            <w:tcBorders>
              <w:top w:val="nil"/>
              <w:left w:val="single" w:sz="8" w:space="0" w:color="auto"/>
              <w:bottom w:val="single" w:sz="4" w:space="0" w:color="auto"/>
              <w:right w:val="single" w:sz="4" w:space="0" w:color="auto"/>
            </w:tcBorders>
            <w:shd w:val="clear" w:color="auto" w:fill="auto"/>
            <w:noWrap/>
            <w:vAlign w:val="center"/>
            <w:hideMark/>
          </w:tcPr>
          <w:p w14:paraId="591A4AC2" w14:textId="77777777" w:rsidR="00863A53" w:rsidRDefault="00863A53">
            <w:pPr>
              <w:ind w:firstLineChars="100" w:firstLine="201"/>
              <w:rPr>
                <w:rFonts w:ascii="Arial" w:hAnsi="Arial" w:cs="Arial"/>
                <w:b/>
                <w:bCs/>
                <w:color w:val="000000"/>
                <w:sz w:val="20"/>
                <w:szCs w:val="20"/>
              </w:rPr>
            </w:pPr>
            <w:r>
              <w:rPr>
                <w:rFonts w:ascii="Arial" w:hAnsi="Arial"/>
                <w:b/>
                <w:color w:val="000000"/>
                <w:sz w:val="20"/>
              </w:rPr>
              <w:t> </w:t>
            </w:r>
          </w:p>
        </w:tc>
        <w:tc>
          <w:tcPr>
            <w:tcW w:w="3502" w:type="dxa"/>
            <w:tcBorders>
              <w:top w:val="nil"/>
              <w:left w:val="nil"/>
              <w:bottom w:val="single" w:sz="4" w:space="0" w:color="auto"/>
              <w:right w:val="single" w:sz="4" w:space="0" w:color="auto"/>
            </w:tcBorders>
            <w:shd w:val="clear" w:color="auto" w:fill="auto"/>
            <w:vAlign w:val="center"/>
            <w:hideMark/>
          </w:tcPr>
          <w:p w14:paraId="60B2CED7" w14:textId="77777777" w:rsidR="00863A53" w:rsidRDefault="00863A53">
            <w:pPr>
              <w:jc w:val="both"/>
              <w:rPr>
                <w:rFonts w:ascii="Arial" w:hAnsi="Arial" w:cs="Arial"/>
                <w:b/>
                <w:bCs/>
                <w:color w:val="000000"/>
                <w:sz w:val="18"/>
                <w:szCs w:val="18"/>
              </w:rPr>
            </w:pPr>
            <w:r>
              <w:rPr>
                <w:rFonts w:ascii="Arial" w:hAnsi="Arial"/>
                <w:b/>
                <w:color w:val="000000"/>
                <w:sz w:val="18"/>
              </w:rPr>
              <w:t>TOTAL</w:t>
            </w:r>
          </w:p>
        </w:tc>
        <w:tc>
          <w:tcPr>
            <w:tcW w:w="1258" w:type="dxa"/>
            <w:tcBorders>
              <w:top w:val="nil"/>
              <w:left w:val="nil"/>
              <w:bottom w:val="single" w:sz="4" w:space="0" w:color="auto"/>
              <w:right w:val="single" w:sz="4" w:space="0" w:color="auto"/>
            </w:tcBorders>
            <w:shd w:val="clear" w:color="auto" w:fill="auto"/>
            <w:vAlign w:val="center"/>
            <w:hideMark/>
          </w:tcPr>
          <w:p w14:paraId="46B5EA31" w14:textId="7EEDD377" w:rsidR="00863A53" w:rsidRDefault="00863A53">
            <w:pPr>
              <w:jc w:val="center"/>
              <w:rPr>
                <w:rFonts w:ascii="Arial" w:hAnsi="Arial" w:cs="Arial"/>
                <w:b/>
                <w:bCs/>
                <w:color w:val="000000"/>
                <w:sz w:val="18"/>
                <w:szCs w:val="18"/>
              </w:rPr>
            </w:pPr>
            <w:r>
              <w:rPr>
                <w:rFonts w:ascii="Arial" w:hAnsi="Arial"/>
                <w:b/>
                <w:color w:val="000000"/>
                <w:sz w:val="18"/>
              </w:rPr>
              <w:t>100,00</w:t>
            </w:r>
            <w:r w:rsidR="00DC76D8">
              <w:rPr>
                <w:rFonts w:ascii="Arial" w:hAnsi="Arial"/>
                <w:b/>
                <w:color w:val="000000"/>
                <w:sz w:val="18"/>
              </w:rPr>
              <w:t> </w:t>
            </w:r>
            <w:r>
              <w:rPr>
                <w:rFonts w:ascii="Arial" w:hAnsi="Arial"/>
                <w:b/>
                <w:color w:val="000000"/>
                <w:sz w:val="18"/>
              </w:rPr>
              <w:t>%</w:t>
            </w:r>
          </w:p>
        </w:tc>
        <w:tc>
          <w:tcPr>
            <w:tcW w:w="1301" w:type="dxa"/>
            <w:tcBorders>
              <w:top w:val="nil"/>
              <w:left w:val="nil"/>
              <w:bottom w:val="single" w:sz="4" w:space="0" w:color="auto"/>
              <w:right w:val="single" w:sz="8" w:space="0" w:color="auto"/>
            </w:tcBorders>
            <w:shd w:val="clear" w:color="auto" w:fill="auto"/>
            <w:vAlign w:val="center"/>
            <w:hideMark/>
          </w:tcPr>
          <w:p w14:paraId="4BE63CB5" w14:textId="04D66F53" w:rsidR="00863A53" w:rsidRDefault="00863A53">
            <w:pPr>
              <w:jc w:val="center"/>
              <w:rPr>
                <w:rFonts w:ascii="Arial" w:hAnsi="Arial" w:cs="Arial"/>
                <w:b/>
                <w:bCs/>
                <w:color w:val="000000"/>
                <w:sz w:val="18"/>
                <w:szCs w:val="18"/>
              </w:rPr>
            </w:pPr>
            <w:r>
              <w:rPr>
                <w:rFonts w:ascii="Arial" w:hAnsi="Arial"/>
                <w:b/>
                <w:color w:val="000000"/>
                <w:sz w:val="18"/>
              </w:rPr>
              <w:t>100,00</w:t>
            </w:r>
            <w:r w:rsidR="00DC76D8">
              <w:rPr>
                <w:rFonts w:ascii="Arial" w:hAnsi="Arial"/>
                <w:b/>
                <w:color w:val="000000"/>
                <w:sz w:val="18"/>
              </w:rPr>
              <w:t> </w:t>
            </w:r>
            <w:r>
              <w:rPr>
                <w:rFonts w:ascii="Arial" w:hAnsi="Arial"/>
                <w:b/>
                <w:color w:val="000000"/>
                <w:sz w:val="18"/>
              </w:rPr>
              <w:t>%</w:t>
            </w:r>
          </w:p>
        </w:tc>
        <w:tc>
          <w:tcPr>
            <w:tcW w:w="1504" w:type="dxa"/>
            <w:tcBorders>
              <w:top w:val="nil"/>
              <w:left w:val="nil"/>
              <w:bottom w:val="dashed" w:sz="4" w:space="0" w:color="auto"/>
              <w:right w:val="dashed" w:sz="4" w:space="0" w:color="auto"/>
            </w:tcBorders>
            <w:shd w:val="clear" w:color="auto" w:fill="auto"/>
            <w:vAlign w:val="center"/>
            <w:hideMark/>
          </w:tcPr>
          <w:p w14:paraId="5AB3BC9A" w14:textId="424FE928" w:rsidR="00863A53" w:rsidRDefault="00863A53">
            <w:pPr>
              <w:jc w:val="center"/>
              <w:rPr>
                <w:rFonts w:ascii="Arial" w:hAnsi="Arial" w:cs="Arial"/>
                <w:b/>
                <w:bCs/>
                <w:i/>
                <w:iCs/>
                <w:color w:val="000000"/>
                <w:sz w:val="18"/>
                <w:szCs w:val="18"/>
              </w:rPr>
            </w:pPr>
            <w:r>
              <w:rPr>
                <w:rFonts w:ascii="Arial" w:hAnsi="Arial"/>
                <w:b/>
                <w:i/>
                <w:color w:val="000000"/>
                <w:sz w:val="18"/>
              </w:rPr>
              <w:t>8</w:t>
            </w:r>
            <w:r w:rsidR="00DC76D8">
              <w:rPr>
                <w:rFonts w:ascii="Arial" w:hAnsi="Arial"/>
                <w:b/>
                <w:i/>
                <w:color w:val="000000"/>
                <w:sz w:val="18"/>
              </w:rPr>
              <w:t> 189 </w:t>
            </w:r>
            <w:r>
              <w:rPr>
                <w:rFonts w:ascii="Arial" w:hAnsi="Arial"/>
                <w:b/>
                <w:i/>
                <w:color w:val="000000"/>
                <w:sz w:val="18"/>
              </w:rPr>
              <w:t>578</w:t>
            </w:r>
            <w:r w:rsidR="00DC76D8">
              <w:rPr>
                <w:rFonts w:ascii="Arial" w:hAnsi="Arial"/>
                <w:b/>
                <w:i/>
                <w:color w:val="000000"/>
                <w:sz w:val="18"/>
              </w:rPr>
              <w:t> </w:t>
            </w:r>
            <w:r>
              <w:rPr>
                <w:rFonts w:ascii="Arial" w:hAnsi="Arial"/>
                <w:b/>
                <w:i/>
                <w:color w:val="000000"/>
                <w:sz w:val="18"/>
              </w:rPr>
              <w:t>$</w:t>
            </w:r>
          </w:p>
        </w:tc>
        <w:tc>
          <w:tcPr>
            <w:tcW w:w="1519" w:type="dxa"/>
            <w:tcBorders>
              <w:top w:val="nil"/>
              <w:left w:val="nil"/>
              <w:bottom w:val="dashed" w:sz="4" w:space="0" w:color="auto"/>
              <w:right w:val="dashed" w:sz="4" w:space="0" w:color="auto"/>
            </w:tcBorders>
            <w:shd w:val="clear" w:color="auto" w:fill="auto"/>
            <w:vAlign w:val="center"/>
            <w:hideMark/>
          </w:tcPr>
          <w:p w14:paraId="3C573969" w14:textId="24700F8E" w:rsidR="00863A53" w:rsidRDefault="00863A53">
            <w:pPr>
              <w:jc w:val="center"/>
              <w:rPr>
                <w:rFonts w:ascii="Arial" w:hAnsi="Arial" w:cs="Arial"/>
                <w:b/>
                <w:bCs/>
                <w:i/>
                <w:iCs/>
                <w:color w:val="000000"/>
                <w:sz w:val="18"/>
                <w:szCs w:val="18"/>
              </w:rPr>
            </w:pPr>
            <w:r>
              <w:rPr>
                <w:rFonts w:ascii="Arial" w:hAnsi="Arial"/>
                <w:b/>
                <w:i/>
                <w:color w:val="000000"/>
                <w:sz w:val="18"/>
              </w:rPr>
              <w:t>2</w:t>
            </w:r>
            <w:r w:rsidR="00DC76D8">
              <w:rPr>
                <w:rFonts w:ascii="Arial" w:hAnsi="Arial"/>
                <w:b/>
                <w:i/>
                <w:color w:val="000000"/>
                <w:sz w:val="18"/>
              </w:rPr>
              <w:t> 047 </w:t>
            </w:r>
            <w:r>
              <w:rPr>
                <w:rFonts w:ascii="Arial" w:hAnsi="Arial"/>
                <w:b/>
                <w:i/>
                <w:color w:val="000000"/>
                <w:sz w:val="18"/>
              </w:rPr>
              <w:t>394</w:t>
            </w:r>
            <w:r w:rsidR="00DC76D8">
              <w:rPr>
                <w:rFonts w:ascii="Arial" w:hAnsi="Arial"/>
                <w:b/>
                <w:i/>
                <w:color w:val="000000"/>
                <w:sz w:val="18"/>
              </w:rPr>
              <w:t> </w:t>
            </w:r>
            <w:r>
              <w:rPr>
                <w:rFonts w:ascii="Arial" w:hAnsi="Arial"/>
                <w:b/>
                <w:i/>
                <w:color w:val="000000"/>
                <w:sz w:val="18"/>
              </w:rPr>
              <w:t>$</w:t>
            </w:r>
          </w:p>
        </w:tc>
      </w:tr>
      <w:tr w:rsidR="00027E63" w:rsidRPr="00027E63" w14:paraId="2E2DA16D" w14:textId="77777777" w:rsidTr="0015229A">
        <w:trPr>
          <w:trHeight w:val="812"/>
        </w:trPr>
        <w:tc>
          <w:tcPr>
            <w:tcW w:w="9706" w:type="dxa"/>
            <w:gridSpan w:val="6"/>
            <w:tcBorders>
              <w:top w:val="nil"/>
              <w:left w:val="single" w:sz="8" w:space="0" w:color="auto"/>
              <w:bottom w:val="single" w:sz="8" w:space="0" w:color="auto"/>
              <w:right w:val="single" w:sz="8" w:space="0" w:color="000000"/>
            </w:tcBorders>
            <w:shd w:val="clear" w:color="auto" w:fill="auto"/>
            <w:vAlign w:val="center"/>
            <w:hideMark/>
          </w:tcPr>
          <w:p w14:paraId="50462606" w14:textId="0FE71309" w:rsidR="00027E63" w:rsidRPr="00027E63" w:rsidRDefault="00027E63" w:rsidP="00027E63">
            <w:pPr>
              <w:rPr>
                <w:sz w:val="20"/>
                <w:szCs w:val="20"/>
              </w:rPr>
            </w:pPr>
            <w:r>
              <w:rPr>
                <w:rFonts w:ascii="Arial" w:hAnsi="Arial"/>
                <w:color w:val="000000"/>
                <w:sz w:val="18"/>
              </w:rPr>
              <w:t>[1] Les pourcentages sont appliqués au solde du Fonds au 31</w:t>
            </w:r>
            <w:r w:rsidR="00DC76D8">
              <w:rPr>
                <w:rFonts w:ascii="Arial" w:hAnsi="Arial"/>
                <w:color w:val="000000"/>
                <w:sz w:val="18"/>
              </w:rPr>
              <w:t> </w:t>
            </w:r>
            <w:r>
              <w:rPr>
                <w:rFonts w:ascii="Arial" w:hAnsi="Arial"/>
                <w:color w:val="000000"/>
                <w:sz w:val="18"/>
              </w:rPr>
              <w:t>décembre 2023. Ce solde ne comprend pas le fonds de réserve (1</w:t>
            </w:r>
            <w:r w:rsidR="00DC76D8">
              <w:rPr>
                <w:rFonts w:ascii="Arial" w:hAnsi="Arial"/>
                <w:color w:val="000000"/>
                <w:sz w:val="18"/>
              </w:rPr>
              <w:t> </w:t>
            </w:r>
            <w:r w:rsidR="00385610">
              <w:rPr>
                <w:rFonts w:ascii="Arial" w:hAnsi="Arial"/>
                <w:color w:val="000000"/>
                <w:sz w:val="18"/>
              </w:rPr>
              <w:t xml:space="preserve">million </w:t>
            </w:r>
            <w:r w:rsidR="006055D9">
              <w:rPr>
                <w:rFonts w:ascii="Arial" w:hAnsi="Arial"/>
                <w:color w:val="000000"/>
                <w:sz w:val="18"/>
              </w:rPr>
              <w:t>de dollar</w:t>
            </w:r>
            <w:r w:rsidR="007F4A9E">
              <w:rPr>
                <w:rFonts w:ascii="Arial" w:hAnsi="Arial"/>
                <w:color w:val="000000"/>
                <w:sz w:val="18"/>
              </w:rPr>
              <w:t>s</w:t>
            </w:r>
            <w:r w:rsidR="006055D9">
              <w:rPr>
                <w:rFonts w:ascii="Arial" w:hAnsi="Arial"/>
                <w:color w:val="000000"/>
                <w:sz w:val="18"/>
              </w:rPr>
              <w:t xml:space="preserve"> des États-Unis).</w:t>
            </w:r>
          </w:p>
        </w:tc>
      </w:tr>
      <w:tr w:rsidR="007F4A9E" w:rsidRPr="00DE57E5" w14:paraId="1783285A" w14:textId="77777777" w:rsidTr="00D37288">
        <w:trPr>
          <w:trHeight w:val="812"/>
        </w:trPr>
        <w:tc>
          <w:tcPr>
            <w:tcW w:w="970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4590E36" w14:textId="2ED1EB81" w:rsidR="007F4A9E" w:rsidRPr="00863A53" w:rsidRDefault="007F4A9E" w:rsidP="00A32245">
            <w:pPr>
              <w:jc w:val="both"/>
              <w:rPr>
                <w:sz w:val="20"/>
                <w:szCs w:val="20"/>
              </w:rPr>
            </w:pPr>
            <w:r w:rsidRPr="005339C4">
              <w:rPr>
                <w:rFonts w:asciiTheme="minorBidi" w:hAnsiTheme="minorBidi" w:cstheme="minorBidi"/>
                <w:color w:val="000000"/>
                <w:sz w:val="18"/>
                <w:szCs w:val="18"/>
                <w:lang w:val="fr"/>
              </w:rPr>
              <w:t>Les fonds non engagés à la fin de la période couverte par ce plan sont reportés sur l</w:t>
            </w:r>
            <w:r>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 xml:space="preserve">exercice financier suivant et doivent être affectés conformément </w:t>
            </w:r>
            <w:proofErr w:type="gramStart"/>
            <w:r w:rsidRPr="005339C4">
              <w:rPr>
                <w:rFonts w:asciiTheme="minorBidi" w:hAnsiTheme="minorBidi" w:cstheme="minorBidi"/>
                <w:color w:val="000000"/>
                <w:sz w:val="18"/>
                <w:szCs w:val="18"/>
                <w:lang w:val="fr"/>
              </w:rPr>
              <w:t>au</w:t>
            </w:r>
            <w:proofErr w:type="gramEnd"/>
            <w:r w:rsidRPr="005339C4">
              <w:rPr>
                <w:rFonts w:asciiTheme="minorBidi" w:hAnsiTheme="minorBidi" w:cstheme="minorBidi"/>
                <w:color w:val="000000"/>
                <w:sz w:val="18"/>
                <w:szCs w:val="18"/>
                <w:lang w:val="fr"/>
              </w:rPr>
              <w:t xml:space="preserve"> plan approuvé par l</w:t>
            </w:r>
            <w:r>
              <w:rPr>
                <w:rFonts w:asciiTheme="minorBidi" w:hAnsiTheme="minorBidi" w:cstheme="minorBidi"/>
                <w:color w:val="000000"/>
                <w:sz w:val="18"/>
                <w:szCs w:val="18"/>
                <w:lang w:val="fr"/>
              </w:rPr>
              <w:t>’</w:t>
            </w:r>
            <w:r w:rsidRPr="005339C4">
              <w:rPr>
                <w:rFonts w:asciiTheme="minorBidi" w:hAnsiTheme="minorBidi" w:cstheme="minorBidi"/>
                <w:color w:val="000000"/>
                <w:sz w:val="18"/>
                <w:szCs w:val="18"/>
                <w:lang w:val="fr"/>
              </w:rPr>
              <w:t>Assemblée générale à ce moment.</w:t>
            </w:r>
          </w:p>
        </w:tc>
      </w:tr>
      <w:tr w:rsidR="007F4A9E" w:rsidRPr="00DE57E5" w14:paraId="0FD76BB1" w14:textId="77777777" w:rsidTr="00130841">
        <w:trPr>
          <w:trHeight w:val="887"/>
        </w:trPr>
        <w:tc>
          <w:tcPr>
            <w:tcW w:w="970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F6925AE" w14:textId="4DE070DD" w:rsidR="007F4A9E" w:rsidRPr="00863A53" w:rsidRDefault="007F4A9E" w:rsidP="007F4A9E">
            <w:pPr>
              <w:rPr>
                <w:sz w:val="20"/>
                <w:szCs w:val="20"/>
              </w:rPr>
            </w:pPr>
            <w:r>
              <w:rPr>
                <w:rFonts w:ascii="Arial" w:hAnsi="Arial"/>
                <w:color w:val="000000"/>
                <w:sz w:val="18"/>
              </w:rPr>
              <w:t>Pour la période allant du 1er janvier 2026 au 30 juin 2026, un quart du montant établi pour les vingt-quatre mois de l’exercice financier 2024-2025 sera alloué à titre provisoire, à l’exception du Fonds de réserve, dont le montant a été fixé par le Comité à 1 million de dollars des États-Unis (Décision </w:t>
            </w:r>
            <w:hyperlink r:id="rId56" w:history="1">
              <w:r>
                <w:rPr>
                  <w:rStyle w:val="Lienhypertexte"/>
                  <w:rFonts w:ascii="Arial" w:hAnsi="Arial"/>
                  <w:sz w:val="18"/>
                </w:rPr>
                <w:t>10.COM 8</w:t>
              </w:r>
            </w:hyperlink>
            <w:r>
              <w:rPr>
                <w:rFonts w:ascii="Arial" w:hAnsi="Arial"/>
                <w:color w:val="000000"/>
                <w:sz w:val="18"/>
              </w:rPr>
              <w:t>).</w:t>
            </w:r>
          </w:p>
        </w:tc>
      </w:tr>
    </w:tbl>
    <w:p w14:paraId="210FD95B" w14:textId="77777777" w:rsidR="00863A53" w:rsidRPr="00DC76D8" w:rsidRDefault="00863A53" w:rsidP="00863A53">
      <w:pPr>
        <w:jc w:val="center"/>
        <w:rPr>
          <w:rFonts w:ascii="Arial" w:eastAsia="SimSun" w:hAnsi="Arial" w:cs="Arial"/>
          <w:b/>
          <w:bCs/>
          <w:sz w:val="22"/>
          <w:szCs w:val="22"/>
          <w:u w:val="single"/>
        </w:rPr>
      </w:pPr>
    </w:p>
    <w:sectPr w:rsidR="00863A53" w:rsidRPr="00DC76D8" w:rsidSect="00D90142">
      <w:headerReference w:type="even" r:id="rId57"/>
      <w:headerReference w:type="default" r:id="rId58"/>
      <w:headerReference w:type="first" r:id="rId5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CCD2" w14:textId="77777777" w:rsidR="00D90142" w:rsidRDefault="00D90142" w:rsidP="00655736">
      <w:r>
        <w:separator/>
      </w:r>
    </w:p>
  </w:endnote>
  <w:endnote w:type="continuationSeparator" w:id="0">
    <w:p w14:paraId="4D999A91" w14:textId="77777777" w:rsidR="00D90142" w:rsidRDefault="00D9014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3976" w14:textId="77777777" w:rsidR="00D90142" w:rsidRDefault="00D90142" w:rsidP="00655736">
      <w:r>
        <w:separator/>
      </w:r>
    </w:p>
  </w:footnote>
  <w:footnote w:type="continuationSeparator" w:id="0">
    <w:p w14:paraId="62F919BC" w14:textId="77777777" w:rsidR="00D90142" w:rsidRDefault="00D90142" w:rsidP="00655736">
      <w:r>
        <w:continuationSeparator/>
      </w:r>
    </w:p>
  </w:footnote>
  <w:footnote w:id="1">
    <w:p w14:paraId="3913ED82" w14:textId="5BC36519" w:rsidR="002855B7" w:rsidRDefault="002855B7" w:rsidP="00E503E8">
      <w:pPr>
        <w:pStyle w:val="Notedebasdepage"/>
        <w:jc w:val="both"/>
      </w:pPr>
      <w:r>
        <w:rPr>
          <w:rStyle w:val="Appelnotedebasdep"/>
        </w:rPr>
        <w:footnoteRef/>
      </w:r>
      <w:r>
        <w:t xml:space="preserve"> </w:t>
      </w:r>
      <w:r w:rsidRPr="00E503E8">
        <w:rPr>
          <w:rFonts w:asciiTheme="minorBidi" w:hAnsiTheme="minorBidi" w:cstheme="minorBidi"/>
          <w:sz w:val="18"/>
          <w:szCs w:val="18"/>
        </w:rPr>
        <w:t>En plus des contributions obligatoires</w:t>
      </w:r>
      <w:r>
        <w:rPr>
          <w:rFonts w:asciiTheme="minorBidi" w:hAnsiTheme="minorBidi" w:cstheme="minorBidi"/>
          <w:sz w:val="18"/>
          <w:szCs w:val="18"/>
        </w:rPr>
        <w:t xml:space="preserve"> mises en recouvrement</w:t>
      </w:r>
      <w:r w:rsidRPr="00E503E8">
        <w:rPr>
          <w:rFonts w:asciiTheme="minorBidi" w:hAnsiTheme="minorBidi" w:cstheme="minorBidi"/>
          <w:sz w:val="18"/>
          <w:szCs w:val="18"/>
        </w:rPr>
        <w:t xml:space="preserve">, la Convention a également reçu des contributions volontaires </w:t>
      </w:r>
      <w:r>
        <w:rPr>
          <w:rFonts w:asciiTheme="minorBidi" w:hAnsiTheme="minorBidi" w:cstheme="minorBidi"/>
          <w:sz w:val="18"/>
          <w:szCs w:val="18"/>
        </w:rPr>
        <w:t xml:space="preserve">pour </w:t>
      </w:r>
      <w:r w:rsidRPr="00E503E8">
        <w:rPr>
          <w:rFonts w:asciiTheme="minorBidi" w:hAnsiTheme="minorBidi" w:cstheme="minorBidi"/>
          <w:sz w:val="18"/>
          <w:szCs w:val="18"/>
        </w:rPr>
        <w:t xml:space="preserve">un montant de 0,5 million de dollars </w:t>
      </w:r>
      <w:r>
        <w:rPr>
          <w:rFonts w:asciiTheme="minorBidi" w:hAnsiTheme="minorBidi" w:cstheme="minorBidi"/>
          <w:sz w:val="18"/>
          <w:szCs w:val="18"/>
        </w:rPr>
        <w:t>des États-Unis</w:t>
      </w:r>
      <w:r w:rsidRPr="00E503E8">
        <w:rPr>
          <w:rFonts w:asciiTheme="minorBidi" w:hAnsiTheme="minorBidi" w:cstheme="minorBidi"/>
          <w:sz w:val="18"/>
          <w:szCs w:val="18"/>
        </w:rPr>
        <w:t xml:space="preserve"> pour la période 2022-2023.</w:t>
      </w:r>
    </w:p>
  </w:footnote>
  <w:footnote w:id="2">
    <w:p w14:paraId="5307C4D0" w14:textId="763E3643" w:rsidR="00C77B9C" w:rsidRPr="00E503E8" w:rsidRDefault="00C77B9C" w:rsidP="00E503E8">
      <w:pPr>
        <w:pStyle w:val="Notedebasdepage"/>
        <w:jc w:val="both"/>
        <w:rPr>
          <w:rFonts w:asciiTheme="minorBidi" w:hAnsiTheme="minorBidi" w:cstheme="minorBidi"/>
          <w:sz w:val="18"/>
          <w:szCs w:val="18"/>
        </w:rPr>
      </w:pPr>
      <w:r w:rsidRPr="00E503E8">
        <w:rPr>
          <w:rStyle w:val="Appelnotedebasdep"/>
          <w:rFonts w:asciiTheme="minorBidi" w:hAnsiTheme="minorBidi" w:cstheme="minorBidi"/>
          <w:sz w:val="18"/>
          <w:szCs w:val="18"/>
        </w:rPr>
        <w:footnoteRef/>
      </w:r>
      <w:r w:rsidRPr="00E503E8">
        <w:rPr>
          <w:rFonts w:asciiTheme="minorBidi" w:hAnsiTheme="minorBidi" w:cstheme="minorBidi"/>
          <w:sz w:val="18"/>
          <w:szCs w:val="18"/>
        </w:rPr>
        <w:t xml:space="preserve"> Un</w:t>
      </w:r>
      <w:r w:rsidR="00946A69">
        <w:rPr>
          <w:rFonts w:asciiTheme="minorBidi" w:hAnsiTheme="minorBidi" w:cstheme="minorBidi"/>
          <w:sz w:val="18"/>
          <w:szCs w:val="18"/>
        </w:rPr>
        <w:t xml:space="preserve"> nouvel </w:t>
      </w:r>
      <w:r w:rsidRPr="00E503E8">
        <w:rPr>
          <w:rFonts w:asciiTheme="minorBidi" w:hAnsiTheme="minorBidi" w:cstheme="minorBidi"/>
          <w:sz w:val="18"/>
          <w:szCs w:val="18"/>
        </w:rPr>
        <w:t>État partie ne figurant pas dans l'état des contributions pour la période allant du 1er janvier 2022 au 31</w:t>
      </w:r>
      <w:r w:rsidR="00A32245">
        <w:rPr>
          <w:rFonts w:asciiTheme="minorBidi" w:hAnsiTheme="minorBidi" w:cstheme="minorBidi"/>
          <w:sz w:val="18"/>
          <w:szCs w:val="18"/>
        </w:rPr>
        <w:t> </w:t>
      </w:r>
      <w:r w:rsidRPr="00E503E8">
        <w:rPr>
          <w:rFonts w:asciiTheme="minorBidi" w:hAnsiTheme="minorBidi" w:cstheme="minorBidi"/>
          <w:sz w:val="18"/>
          <w:szCs w:val="18"/>
        </w:rPr>
        <w:t>décembre 2023 n</w:t>
      </w:r>
      <w:r>
        <w:rPr>
          <w:rFonts w:asciiTheme="minorBidi" w:hAnsiTheme="minorBidi" w:cstheme="minorBidi"/>
          <w:sz w:val="18"/>
          <w:szCs w:val="18"/>
        </w:rPr>
        <w:t>’</w:t>
      </w:r>
      <w:r w:rsidRPr="00E503E8">
        <w:rPr>
          <w:rFonts w:asciiTheme="minorBidi" w:hAnsiTheme="minorBidi" w:cstheme="minorBidi"/>
          <w:sz w:val="18"/>
          <w:szCs w:val="18"/>
        </w:rPr>
        <w:t>a pas payé sa contribution</w:t>
      </w:r>
      <w:r w:rsidR="00946A69">
        <w:rPr>
          <w:rFonts w:asciiTheme="minorBidi" w:hAnsiTheme="minorBidi" w:cstheme="minorBidi"/>
          <w:sz w:val="18"/>
          <w:szCs w:val="18"/>
        </w:rPr>
        <w:t xml:space="preserve"> au prorata</w:t>
      </w:r>
      <w:r w:rsidRPr="00E503E8">
        <w:rPr>
          <w:rFonts w:asciiTheme="minorBidi" w:hAnsiTheme="minorBidi" w:cstheme="minorBidi"/>
          <w:sz w:val="18"/>
          <w:szCs w:val="18"/>
        </w:rPr>
        <w:t xml:space="preserve"> pour 2023</w:t>
      </w:r>
      <w:r w:rsidR="00946A69">
        <w:rPr>
          <w:rFonts w:asciiTheme="minorBidi" w:hAnsiTheme="minorBidi" w:cstheme="minorBidi"/>
          <w:sz w:val="18"/>
          <w:szCs w:val="18"/>
        </w:rPr>
        <w:t xml:space="preserve"> (70 </w:t>
      </w:r>
      <w:r w:rsidR="00A32245">
        <w:rPr>
          <w:rFonts w:asciiTheme="minorBidi" w:hAnsiTheme="minorBidi" w:cstheme="minorBidi"/>
          <w:sz w:val="18"/>
          <w:szCs w:val="18"/>
        </w:rPr>
        <w:t>d</w:t>
      </w:r>
      <w:r w:rsidR="00946A69">
        <w:rPr>
          <w:rFonts w:asciiTheme="minorBidi" w:hAnsiTheme="minorBidi" w:cstheme="minorBidi"/>
          <w:sz w:val="18"/>
          <w:szCs w:val="18"/>
        </w:rPr>
        <w:t>ollars des États-Unis)</w:t>
      </w:r>
      <w:r w:rsidRPr="00E503E8">
        <w:rPr>
          <w:rFonts w:asciiTheme="minorBidi" w:hAnsiTheme="minorBidi" w:cstheme="minorBidi"/>
          <w:sz w:val="18"/>
          <w:szCs w:val="18"/>
        </w:rPr>
        <w:t xml:space="preserve">. Ceci </w:t>
      </w:r>
      <w:r w:rsidR="00946A69">
        <w:rPr>
          <w:rFonts w:asciiTheme="minorBidi" w:hAnsiTheme="minorBidi" w:cstheme="minorBidi"/>
          <w:sz w:val="18"/>
          <w:szCs w:val="18"/>
        </w:rPr>
        <w:t>a déjà été pris en compte dans l’</w:t>
      </w:r>
      <w:r w:rsidRPr="00E503E8">
        <w:rPr>
          <w:rFonts w:asciiTheme="minorBidi" w:hAnsiTheme="minorBidi" w:cstheme="minorBidi"/>
          <w:sz w:val="18"/>
          <w:szCs w:val="18"/>
        </w:rPr>
        <w:t xml:space="preserve">état </w:t>
      </w:r>
      <w:r w:rsidR="00946A69">
        <w:rPr>
          <w:rFonts w:asciiTheme="minorBidi" w:hAnsiTheme="minorBidi" w:cstheme="minorBidi"/>
          <w:sz w:val="18"/>
          <w:szCs w:val="18"/>
        </w:rPr>
        <w:t xml:space="preserve">mensuel </w:t>
      </w:r>
      <w:r w:rsidRPr="00E503E8">
        <w:rPr>
          <w:rFonts w:asciiTheme="minorBidi" w:hAnsiTheme="minorBidi" w:cstheme="minorBidi"/>
          <w:sz w:val="18"/>
          <w:szCs w:val="18"/>
        </w:rPr>
        <w:t xml:space="preserve">des contributions </w:t>
      </w:r>
      <w:r w:rsidR="00946A69">
        <w:rPr>
          <w:rFonts w:asciiTheme="minorBidi" w:hAnsiTheme="minorBidi" w:cstheme="minorBidi"/>
          <w:sz w:val="18"/>
          <w:szCs w:val="18"/>
        </w:rPr>
        <w:t>qui est publié sur le portail des États Membres sur le lien suivant</w:t>
      </w:r>
      <w:r w:rsidR="00F30C83">
        <w:rPr>
          <w:rFonts w:asciiTheme="minorBidi" w:hAnsiTheme="minorBidi" w:cstheme="minorBidi"/>
          <w:sz w:val="18"/>
          <w:szCs w:val="18"/>
        </w:rPr>
        <w:t xml:space="preserve"> : </w:t>
      </w:r>
      <w:hyperlink r:id="rId1" w:history="1">
        <w:r w:rsidR="00F30C83" w:rsidRPr="00F30C83">
          <w:rPr>
            <w:rStyle w:val="Lienhypertexte"/>
            <w:rFonts w:asciiTheme="minorBidi" w:hAnsiTheme="minorBidi" w:cstheme="minorBidi"/>
            <w:sz w:val="18"/>
            <w:szCs w:val="18"/>
          </w:rPr>
          <w:t>État des contributions du Fonds du patrimoine culturel immatériel.</w:t>
        </w:r>
      </w:hyperlink>
      <w:r w:rsidR="00F30C83">
        <w:rPr>
          <w:rFonts w:asciiTheme="minorBidi" w:hAnsiTheme="minorBidi" w:cstheme="minorBidi"/>
          <w:sz w:val="18"/>
          <w:szCs w:val="18"/>
        </w:rPr>
        <w:t xml:space="preserve"> </w:t>
      </w:r>
    </w:p>
  </w:footnote>
  <w:footnote w:id="3">
    <w:p w14:paraId="614F4FDF" w14:textId="4CD789E7" w:rsidR="008A1DB8" w:rsidRPr="00E503E8" w:rsidRDefault="008A1DB8" w:rsidP="00E503E8">
      <w:pPr>
        <w:pStyle w:val="Notedebasdepage"/>
        <w:jc w:val="both"/>
        <w:rPr>
          <w:rFonts w:ascii="Arial" w:hAnsi="Arial" w:cs="Arial"/>
          <w:sz w:val="18"/>
          <w:szCs w:val="18"/>
        </w:rPr>
      </w:pPr>
      <w:r w:rsidRPr="00E503E8">
        <w:rPr>
          <w:rStyle w:val="Appelnotedebasdep"/>
          <w:rFonts w:ascii="Arial" w:hAnsi="Arial" w:cs="Arial"/>
          <w:sz w:val="18"/>
          <w:szCs w:val="18"/>
        </w:rPr>
        <w:footnoteRef/>
      </w:r>
      <w:r w:rsidRPr="00E503E8">
        <w:rPr>
          <w:rFonts w:ascii="Arial" w:hAnsi="Arial" w:cs="Arial"/>
          <w:sz w:val="18"/>
          <w:szCs w:val="18"/>
        </w:rPr>
        <w:t xml:space="preserve"> </w:t>
      </w:r>
      <w:r w:rsidRPr="00E503E8">
        <w:rPr>
          <w:rFonts w:ascii="Arial" w:hAnsi="Arial" w:cs="Arial"/>
          <w:sz w:val="18"/>
          <w:szCs w:val="18"/>
          <w:lang w:val="fr"/>
        </w:rPr>
        <w:t>L</w:t>
      </w:r>
      <w:r w:rsidRPr="00E503E8">
        <w:rPr>
          <w:rFonts w:ascii="Arial" w:hAnsi="Arial" w:cs="Arial" w:hint="eastAsia"/>
          <w:sz w:val="18"/>
          <w:szCs w:val="18"/>
          <w:lang w:val="fr"/>
        </w:rPr>
        <w:t>’</w:t>
      </w:r>
      <w:r w:rsidRPr="00E503E8">
        <w:rPr>
          <w:rFonts w:ascii="Arial" w:hAnsi="Arial" w:cs="Arial"/>
          <w:sz w:val="18"/>
          <w:szCs w:val="18"/>
          <w:lang w:val="fr"/>
        </w:rPr>
        <w:t> « assistance préparatoire » fait référence à l</w:t>
      </w:r>
      <w:r w:rsidRPr="00E503E8">
        <w:rPr>
          <w:rFonts w:ascii="Arial" w:hAnsi="Arial" w:cs="Arial" w:hint="eastAsia"/>
          <w:sz w:val="18"/>
          <w:szCs w:val="18"/>
          <w:lang w:val="fr"/>
        </w:rPr>
        <w:t>’</w:t>
      </w:r>
      <w:r w:rsidRPr="00E503E8">
        <w:rPr>
          <w:rFonts w:ascii="Arial" w:hAnsi="Arial" w:cs="Arial"/>
          <w:sz w:val="18"/>
          <w:szCs w:val="18"/>
          <w:lang w:val="fr"/>
        </w:rPr>
        <w:t>assistance que les États parties peuvent demander pour élaborer des candidatures à la Liste du patrimoine culturel immatériel nécessitant une sauvegarde urgente ou des propositions pour le Registre de bonnes pratiques de sauvegarde, pour le transfert d</w:t>
      </w:r>
      <w:r w:rsidRPr="00E503E8">
        <w:rPr>
          <w:rFonts w:ascii="Arial" w:hAnsi="Arial" w:cs="Arial" w:hint="eastAsia"/>
          <w:sz w:val="18"/>
          <w:szCs w:val="18"/>
          <w:lang w:val="fr"/>
        </w:rPr>
        <w:t>’</w:t>
      </w:r>
      <w:r w:rsidRPr="00E503E8">
        <w:rPr>
          <w:rFonts w:ascii="Arial" w:hAnsi="Arial" w:cs="Arial"/>
          <w:sz w:val="18"/>
          <w:szCs w:val="18"/>
          <w:lang w:val="fr"/>
        </w:rPr>
        <w:t>éléments entre les Listes et le Registre de la Convention et pour l</w:t>
      </w:r>
      <w:r w:rsidRPr="00E503E8">
        <w:rPr>
          <w:rFonts w:ascii="Arial" w:hAnsi="Arial" w:cs="Arial" w:hint="eastAsia"/>
          <w:sz w:val="18"/>
          <w:szCs w:val="18"/>
          <w:lang w:val="fr"/>
        </w:rPr>
        <w:t>’</w:t>
      </w:r>
      <w:r w:rsidRPr="00E503E8">
        <w:rPr>
          <w:rFonts w:ascii="Arial" w:hAnsi="Arial" w:cs="Arial"/>
          <w:sz w:val="18"/>
          <w:szCs w:val="18"/>
          <w:lang w:val="fr"/>
        </w:rPr>
        <w:t>inscription d</w:t>
      </w:r>
      <w:r w:rsidRPr="00E503E8">
        <w:rPr>
          <w:rFonts w:ascii="Arial" w:hAnsi="Arial" w:cs="Arial" w:hint="eastAsia"/>
          <w:sz w:val="18"/>
          <w:szCs w:val="18"/>
          <w:lang w:val="fr"/>
        </w:rPr>
        <w:t>’</w:t>
      </w:r>
      <w:r w:rsidRPr="00E503E8">
        <w:rPr>
          <w:rFonts w:ascii="Arial" w:hAnsi="Arial" w:cs="Arial"/>
          <w:sz w:val="18"/>
          <w:szCs w:val="18"/>
          <w:lang w:val="fr"/>
        </w:rPr>
        <w:t xml:space="preserve">éléments sur une base étendue ou réduite (paragraphe 21 des </w:t>
      </w:r>
      <w:hyperlink r:id="rId2" w:history="1">
        <w:r w:rsidRPr="00E503E8">
          <w:rPr>
            <w:rStyle w:val="Lienhypertexte"/>
            <w:rFonts w:ascii="Arial" w:hAnsi="Arial" w:cs="Arial"/>
            <w:sz w:val="18"/>
            <w:szCs w:val="18"/>
            <w:lang w:val="fr"/>
          </w:rPr>
          <w:t>Directives opérationnelles</w:t>
        </w:r>
      </w:hyperlink>
      <w:r w:rsidRPr="00E503E8">
        <w:rPr>
          <w:rFonts w:ascii="Arial" w:hAnsi="Arial" w:cs="Arial"/>
          <w:sz w:val="18"/>
          <w:szCs w:val="18"/>
          <w:lang w:val="fr"/>
        </w:rPr>
        <w:t>). L</w:t>
      </w:r>
      <w:r w:rsidRPr="00E503E8">
        <w:rPr>
          <w:rFonts w:ascii="Arial" w:hAnsi="Arial" w:cs="Arial" w:hint="eastAsia"/>
          <w:sz w:val="18"/>
          <w:szCs w:val="18"/>
          <w:lang w:val="fr"/>
        </w:rPr>
        <w:t>’</w:t>
      </w:r>
      <w:r w:rsidRPr="00E503E8">
        <w:rPr>
          <w:rFonts w:ascii="Arial" w:hAnsi="Arial" w:cs="Arial"/>
          <w:sz w:val="18"/>
          <w:szCs w:val="18"/>
          <w:lang w:val="fr"/>
        </w:rPr>
        <w:t>« assistance technique » fait référence à la mise à disposition d</w:t>
      </w:r>
      <w:r w:rsidRPr="00E503E8">
        <w:rPr>
          <w:rFonts w:ascii="Arial" w:hAnsi="Arial" w:cs="Arial" w:hint="eastAsia"/>
          <w:sz w:val="18"/>
          <w:szCs w:val="18"/>
          <w:lang w:val="fr"/>
        </w:rPr>
        <w:t>’</w:t>
      </w:r>
      <w:r w:rsidRPr="00E503E8">
        <w:rPr>
          <w:rFonts w:ascii="Arial" w:hAnsi="Arial" w:cs="Arial"/>
          <w:sz w:val="18"/>
          <w:szCs w:val="18"/>
          <w:lang w:val="fr"/>
        </w:rPr>
        <w:t>experts, telle que décrite à l</w:t>
      </w:r>
      <w:r w:rsidRPr="00E503E8">
        <w:rPr>
          <w:rFonts w:ascii="Arial" w:hAnsi="Arial" w:cs="Arial" w:hint="eastAsia"/>
          <w:sz w:val="18"/>
          <w:szCs w:val="18"/>
          <w:lang w:val="fr"/>
        </w:rPr>
        <w:t>’</w:t>
      </w:r>
      <w:r w:rsidRPr="00E503E8">
        <w:rPr>
          <w:rFonts w:ascii="Arial" w:hAnsi="Arial" w:cs="Arial"/>
          <w:sz w:val="18"/>
          <w:szCs w:val="18"/>
          <w:lang w:val="fr"/>
        </w:rPr>
        <w:t>article 21 de la Convention, pour les États parties souhaitant élaborer des demandes d</w:t>
      </w:r>
      <w:r w:rsidRPr="00E503E8">
        <w:rPr>
          <w:rFonts w:ascii="Arial" w:hAnsi="Arial" w:cs="Arial" w:hint="eastAsia"/>
          <w:sz w:val="18"/>
          <w:szCs w:val="18"/>
          <w:lang w:val="fr"/>
        </w:rPr>
        <w:t>’</w:t>
      </w:r>
      <w:r w:rsidRPr="00E503E8">
        <w:rPr>
          <w:rFonts w:ascii="Arial" w:hAnsi="Arial" w:cs="Arial"/>
          <w:sz w:val="18"/>
          <w:szCs w:val="18"/>
          <w:lang w:val="fr"/>
        </w:rPr>
        <w:t>assistance internationale (</w:t>
      </w:r>
      <w:hyperlink r:id="rId3" w:history="1">
        <w:r w:rsidRPr="00E503E8">
          <w:rPr>
            <w:rStyle w:val="Lienhypertexte"/>
            <w:rFonts w:ascii="Arial" w:hAnsi="Arial" w:cs="Arial"/>
            <w:sz w:val="18"/>
            <w:szCs w:val="18"/>
            <w:lang w:val="fr"/>
          </w:rPr>
          <w:t>Décision 8.COM 7.c</w:t>
        </w:r>
      </w:hyperlink>
      <w:r w:rsidRPr="00E503E8">
        <w:rPr>
          <w:rFonts w:ascii="Arial" w:hAnsi="Arial" w:cs="Arial"/>
          <w:sz w:val="18"/>
          <w:szCs w:val="18"/>
          <w:lang w:val="fr"/>
        </w:rPr>
        <w:t>).</w:t>
      </w:r>
    </w:p>
  </w:footnote>
  <w:footnote w:id="4">
    <w:p w14:paraId="7910F05C" w14:textId="5ACA97D5" w:rsidR="00D80E57" w:rsidRPr="00E503E8" w:rsidRDefault="00D80E57" w:rsidP="00E503E8">
      <w:pPr>
        <w:pStyle w:val="Notedebasdepage"/>
        <w:spacing w:after="60"/>
        <w:jc w:val="both"/>
        <w:rPr>
          <w:rFonts w:asciiTheme="minorBidi" w:hAnsiTheme="minorBidi" w:cstheme="minorBidi"/>
          <w:sz w:val="18"/>
          <w:szCs w:val="18"/>
        </w:rPr>
      </w:pPr>
      <w:r w:rsidRPr="00E503E8">
        <w:rPr>
          <w:rStyle w:val="Appelnotedebasdep"/>
          <w:rFonts w:ascii="Arial" w:hAnsi="Arial" w:cs="Arial"/>
          <w:sz w:val="18"/>
          <w:szCs w:val="18"/>
        </w:rPr>
        <w:footnoteRef/>
      </w:r>
      <w:r w:rsidRPr="00E503E8">
        <w:rPr>
          <w:rFonts w:ascii="Arial" w:hAnsi="Arial" w:cs="Arial"/>
          <w:sz w:val="18"/>
          <w:szCs w:val="18"/>
        </w:rPr>
        <w:t xml:space="preserve"> Le résultat escompté 1 proposé est aligné sur l’indicateur de performance 1 « Nombre d’États membres disposant de politiques, de stratégies et de programmes nouveaux ou révisés pour sauvegarder le patrimoine vivant, notamment dans le contexte de plans et de cadres de développement durable, conformément à la Convention pour la sauvegarde du patrimoine culturel immatériel (2003) » dans le 42 C/5 approuvé pour le Produit 5.CLT4. Il fusionne les RE 2 (« Mise en œuvre de la Convention dans les États membres encouragée par un programme de renforcement des capacités </w:t>
      </w:r>
      <w:r w:rsidRPr="001A6C3D">
        <w:rPr>
          <w:rFonts w:asciiTheme="minorBidi" w:hAnsiTheme="minorBidi" w:cstheme="minorBidi"/>
          <w:sz w:val="18"/>
          <w:szCs w:val="18"/>
        </w:rPr>
        <w:t>consolidé ») et 3 (« </w:t>
      </w:r>
      <w:r w:rsidRPr="00E503E8">
        <w:rPr>
          <w:rFonts w:asciiTheme="minorBidi" w:hAnsiTheme="minorBidi" w:cstheme="minorBidi"/>
          <w:sz w:val="18"/>
          <w:szCs w:val="18"/>
        </w:rPr>
        <w:t xml:space="preserve">Appui à l’intégration du patrimoine culturel immatériel dans les plans, politiques et programmes de </w:t>
      </w:r>
      <w:r w:rsidRPr="001A6C3D">
        <w:rPr>
          <w:rFonts w:asciiTheme="minorBidi" w:hAnsiTheme="minorBidi" w:cstheme="minorBidi"/>
          <w:sz w:val="18"/>
          <w:szCs w:val="18"/>
        </w:rPr>
        <w:t>développement ») dans le plan pour 2022 - 2023.</w:t>
      </w:r>
    </w:p>
  </w:footnote>
  <w:footnote w:id="5">
    <w:p w14:paraId="0D292238" w14:textId="7C904720" w:rsidR="00D80E57" w:rsidRPr="00E503E8" w:rsidRDefault="00D80E57" w:rsidP="00E503E8">
      <w:pPr>
        <w:jc w:val="both"/>
        <w:rPr>
          <w:rFonts w:asciiTheme="minorBidi" w:hAnsiTheme="minorBidi" w:cstheme="minorBidi"/>
          <w:sz w:val="18"/>
          <w:szCs w:val="18"/>
        </w:rPr>
      </w:pPr>
      <w:r w:rsidRPr="00E503E8">
        <w:rPr>
          <w:rStyle w:val="Appelnotedebasdep"/>
          <w:rFonts w:asciiTheme="minorBidi" w:hAnsiTheme="minorBidi" w:cstheme="minorBidi"/>
          <w:sz w:val="18"/>
          <w:szCs w:val="18"/>
        </w:rPr>
        <w:footnoteRef/>
      </w:r>
      <w:r w:rsidRPr="00E503E8">
        <w:rPr>
          <w:rFonts w:asciiTheme="minorBidi" w:hAnsiTheme="minorBidi" w:cstheme="minorBidi"/>
          <w:sz w:val="18"/>
          <w:szCs w:val="18"/>
        </w:rPr>
        <w:t xml:space="preserve"> Le résultat escompté 2 proposé est aligné sur l’indicateur de performance 2 « Nombre d’États membres sauvegardant durablement le patrimoine vivant grâce à une coopération internationale renforcée et aux mécanismes d’assistance de la Convention pour la sauvegarde du patrimoine culturel immatériel (2003) » dans le 42 C/5 approuvé pour le Produit 5.CLT4. Il fusionne les RE 1 («</w:t>
      </w:r>
      <w:r w:rsidRPr="001A6C3D">
        <w:rPr>
          <w:rFonts w:asciiTheme="minorBidi" w:hAnsiTheme="minorBidi" w:cstheme="minorBidi"/>
          <w:sz w:val="18"/>
          <w:szCs w:val="18"/>
        </w:rPr>
        <w:t xml:space="preserve"> </w:t>
      </w:r>
      <w:r w:rsidRPr="00E503E8">
        <w:rPr>
          <w:rFonts w:asciiTheme="minorBidi" w:hAnsiTheme="minorBidi" w:cstheme="minorBidi"/>
          <w:sz w:val="18"/>
          <w:szCs w:val="18"/>
        </w:rPr>
        <w:t>Bonne gouvernance de la Convention de 2003 facilitée par l’amélioration du suivi et des services de gestion des connaissances ») et 4 (« Promotion des objectifs de la Convention par des actions de sensibilisation et d’information</w:t>
      </w:r>
      <w:r w:rsidRPr="001A6C3D">
        <w:rPr>
          <w:rFonts w:asciiTheme="minorBidi" w:hAnsiTheme="minorBidi" w:cstheme="minorBidi"/>
          <w:sz w:val="18"/>
          <w:szCs w:val="18"/>
        </w:rPr>
        <w:t xml:space="preserve"> </w:t>
      </w:r>
      <w:r w:rsidRPr="00E503E8">
        <w:rPr>
          <w:rFonts w:asciiTheme="minorBidi" w:hAnsiTheme="minorBidi" w:cstheme="minorBidi"/>
          <w:sz w:val="18"/>
          <w:szCs w:val="18"/>
        </w:rPr>
        <w:t>») dans le plan pour 2022 - 2023.</w:t>
      </w:r>
    </w:p>
    <w:p w14:paraId="77BE8731" w14:textId="7E12824D" w:rsidR="00D80E57" w:rsidRDefault="00D80E5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2184035B" w:rsidR="00D95C4C" w:rsidRPr="00C23A97" w:rsidRDefault="00C5776D" w:rsidP="00C5776D">
    <w:pPr>
      <w:pStyle w:val="En-tte"/>
      <w:rPr>
        <w:rFonts w:ascii="Arial" w:hAnsi="Arial" w:cs="Arial"/>
      </w:rPr>
    </w:pPr>
    <w:r>
      <w:rPr>
        <w:rFonts w:ascii="Arial" w:hAnsi="Arial"/>
        <w:sz w:val="20"/>
      </w:rPr>
      <w:t xml:space="preserve">LHE/24/10.GA/8 – page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5A0E5EA9" w:rsidR="00D95C4C" w:rsidRPr="0063300C" w:rsidRDefault="00C5776D" w:rsidP="00C5776D">
    <w:pPr>
      <w:pStyle w:val="En-tte"/>
      <w:jc w:val="right"/>
      <w:rPr>
        <w:rFonts w:ascii="Arial" w:hAnsi="Arial" w:cs="Arial"/>
      </w:rPr>
    </w:pPr>
    <w:bookmarkStart w:id="13" w:name="_Hlk161650733"/>
    <w:r>
      <w:rPr>
        <w:rFonts w:ascii="Arial" w:hAnsi="Arial"/>
        <w:sz w:val="20"/>
      </w:rPr>
      <w:t xml:space="preserve">LHE/24/10.GA/8 </w:t>
    </w:r>
    <w:bookmarkEnd w:id="13"/>
    <w:r>
      <w:rPr>
        <w:rFonts w:ascii="Arial" w:hAnsi="Arial"/>
        <w:sz w:val="20"/>
      </w:rPr>
      <w:t>– page</w:t>
    </w:r>
    <w:r w:rsidR="00DC76D8">
      <w:rPr>
        <w:rFonts w:ascii="Arial" w:hAnsi="Arial"/>
        <w:sz w:val="20"/>
      </w:rPr>
      <w:t>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18B5DA21" w:rsidR="00D95C4C" w:rsidRPr="00E95AE2" w:rsidRDefault="00CA5282">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137DF4FD" wp14:editId="15F18F35">
          <wp:simplePos x="0" y="0"/>
          <wp:positionH relativeFrom="margin">
            <wp:posOffset>0</wp:posOffset>
          </wp:positionH>
          <wp:positionV relativeFrom="paragraph">
            <wp:posOffset>166370</wp:posOffset>
          </wp:positionV>
          <wp:extent cx="1710000" cy="1436138"/>
          <wp:effectExtent l="0" t="0" r="5080" b="0"/>
          <wp:wrapSquare wrapText="bothSides"/>
          <wp:docPr id="1"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482825F8" w:rsidR="00D95C4C" w:rsidRPr="00D7105A" w:rsidRDefault="005C792B" w:rsidP="00C5776D">
    <w:pPr>
      <w:pStyle w:val="En-tte"/>
      <w:spacing w:after="520"/>
      <w:jc w:val="right"/>
      <w:rPr>
        <w:rFonts w:ascii="Arial" w:hAnsi="Arial" w:cs="Arial"/>
        <w:b/>
        <w:sz w:val="44"/>
        <w:szCs w:val="44"/>
      </w:rPr>
    </w:pPr>
    <w:r>
      <w:rPr>
        <w:rFonts w:ascii="Arial" w:hAnsi="Arial"/>
        <w:b/>
        <w:sz w:val="44"/>
      </w:rPr>
      <w:t>10 GA</w:t>
    </w:r>
  </w:p>
  <w:p w14:paraId="306484B8" w14:textId="723523A8" w:rsidR="00D95C4C" w:rsidRPr="00D7105A" w:rsidRDefault="00C5776D" w:rsidP="00C5776D">
    <w:pPr>
      <w:jc w:val="right"/>
      <w:rPr>
        <w:rFonts w:ascii="Arial" w:hAnsi="Arial" w:cs="Arial"/>
        <w:b/>
        <w:sz w:val="22"/>
        <w:szCs w:val="22"/>
      </w:rPr>
    </w:pPr>
    <w:r>
      <w:rPr>
        <w:rFonts w:ascii="Arial" w:hAnsi="Arial"/>
        <w:b/>
        <w:sz w:val="22"/>
      </w:rPr>
      <w:t>LHE/24/10.GA/8</w:t>
    </w:r>
  </w:p>
  <w:p w14:paraId="1B4446C3" w14:textId="739C211E" w:rsidR="00D95C4C" w:rsidRPr="00D7105A" w:rsidRDefault="00D95C4C" w:rsidP="00655736">
    <w:pPr>
      <w:jc w:val="right"/>
      <w:rPr>
        <w:rFonts w:ascii="Arial" w:eastAsiaTheme="minorEastAsia" w:hAnsi="Arial" w:cs="Arial"/>
        <w:b/>
        <w:sz w:val="22"/>
        <w:szCs w:val="22"/>
      </w:rPr>
    </w:pPr>
    <w:r>
      <w:rPr>
        <w:rFonts w:ascii="Arial" w:hAnsi="Arial"/>
        <w:b/>
        <w:sz w:val="22"/>
      </w:rPr>
      <w:t xml:space="preserve">Paris, le </w:t>
    </w:r>
    <w:r w:rsidR="00196D3D">
      <w:rPr>
        <w:rFonts w:ascii="Arial" w:hAnsi="Arial"/>
        <w:b/>
        <w:sz w:val="22"/>
      </w:rPr>
      <w:t>2</w:t>
    </w:r>
    <w:r w:rsidR="00E503E8">
      <w:rPr>
        <w:rFonts w:ascii="Arial" w:hAnsi="Arial"/>
        <w:b/>
        <w:sz w:val="22"/>
      </w:rPr>
      <w:t>4</w:t>
    </w:r>
    <w:r>
      <w:rPr>
        <w:rFonts w:ascii="Arial" w:hAnsi="Arial"/>
        <w:b/>
        <w:sz w:val="22"/>
      </w:rPr>
      <w:t xml:space="preserve"> mai 2024</w:t>
    </w:r>
  </w:p>
  <w:p w14:paraId="255B57FF" w14:textId="440FA501" w:rsidR="00D95C4C" w:rsidRPr="00F32C23" w:rsidRDefault="00D95C4C" w:rsidP="00962034">
    <w:pPr>
      <w:spacing w:after="120"/>
      <w:jc w:val="right"/>
      <w:rPr>
        <w:rFonts w:ascii="Arial" w:hAnsi="Arial" w:cs="Arial"/>
        <w:b/>
        <w:sz w:val="22"/>
        <w:szCs w:val="22"/>
      </w:rPr>
    </w:pPr>
    <w:r>
      <w:rPr>
        <w:rFonts w:ascii="Arial" w:hAnsi="Arial"/>
        <w:b/>
        <w:sz w:val="22"/>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5F0A7196"/>
    <w:lvl w:ilvl="0" w:tplc="4A66941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2550F78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C23678"/>
    <w:multiLevelType w:val="hybridMultilevel"/>
    <w:tmpl w:val="0818CF1E"/>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040C0017">
      <w:start w:val="1"/>
      <w:numFmt w:val="lowerLetter"/>
      <w:lvlText w:val="%3)"/>
      <w:lvlJc w:val="left"/>
      <w:pPr>
        <w:ind w:left="3049"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E06BFA"/>
    <w:multiLevelType w:val="hybridMultilevel"/>
    <w:tmpl w:val="51B87C28"/>
    <w:lvl w:ilvl="0" w:tplc="040C0017">
      <w:start w:val="1"/>
      <w:numFmt w:val="lowerLetter"/>
      <w:lvlText w:val="%1)"/>
      <w:lvlJc w:val="left"/>
      <w:pPr>
        <w:ind w:left="1429" w:hanging="360"/>
      </w:pPr>
    </w:lvl>
    <w:lvl w:ilvl="1" w:tplc="040C0019" w:tentative="1">
      <w:start w:val="1"/>
      <w:numFmt w:val="lowerLetter"/>
      <w:lvlText w:val="%2."/>
      <w:lvlJc w:val="left"/>
      <w:pPr>
        <w:ind w:left="2149" w:hanging="360"/>
      </w:pPr>
    </w:lvl>
    <w:lvl w:ilvl="2" w:tplc="040C001B">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4"/>
  </w:num>
  <w:num w:numId="2" w16cid:durableId="699629408">
    <w:abstractNumId w:val="8"/>
  </w:num>
  <w:num w:numId="3" w16cid:durableId="164177712">
    <w:abstractNumId w:val="3"/>
  </w:num>
  <w:num w:numId="4" w16cid:durableId="1416590798">
    <w:abstractNumId w:val="16"/>
  </w:num>
  <w:num w:numId="5" w16cid:durableId="1762608160">
    <w:abstractNumId w:val="15"/>
  </w:num>
  <w:num w:numId="6" w16cid:durableId="2146270374">
    <w:abstractNumId w:val="1"/>
  </w:num>
  <w:num w:numId="7" w16cid:durableId="1113592211">
    <w:abstractNumId w:val="4"/>
  </w:num>
  <w:num w:numId="8" w16cid:durableId="1920598164">
    <w:abstractNumId w:val="13"/>
  </w:num>
  <w:num w:numId="9" w16cid:durableId="1533764642">
    <w:abstractNumId w:val="7"/>
  </w:num>
  <w:num w:numId="10" w16cid:durableId="1246129">
    <w:abstractNumId w:val="9"/>
  </w:num>
  <w:num w:numId="11" w16cid:durableId="111829808">
    <w:abstractNumId w:val="12"/>
  </w:num>
  <w:num w:numId="12" w16cid:durableId="1088770206">
    <w:abstractNumId w:val="10"/>
  </w:num>
  <w:num w:numId="13" w16cid:durableId="1263951029">
    <w:abstractNumId w:val="17"/>
  </w:num>
  <w:num w:numId="14" w16cid:durableId="395903570">
    <w:abstractNumId w:val="5"/>
  </w:num>
  <w:num w:numId="15" w16cid:durableId="1857570918">
    <w:abstractNumId w:val="7"/>
  </w:num>
  <w:num w:numId="16" w16cid:durableId="248199808">
    <w:abstractNumId w:val="7"/>
  </w:num>
  <w:num w:numId="17" w16cid:durableId="350380342">
    <w:abstractNumId w:val="7"/>
  </w:num>
  <w:num w:numId="18" w16cid:durableId="944581980">
    <w:abstractNumId w:val="7"/>
  </w:num>
  <w:num w:numId="19" w16cid:durableId="772675100">
    <w:abstractNumId w:val="7"/>
  </w:num>
  <w:num w:numId="20" w16cid:durableId="1253010311">
    <w:abstractNumId w:val="7"/>
  </w:num>
  <w:num w:numId="21" w16cid:durableId="540821319">
    <w:abstractNumId w:val="2"/>
  </w:num>
  <w:num w:numId="22" w16cid:durableId="2046514942">
    <w:abstractNumId w:val="7"/>
  </w:num>
  <w:num w:numId="23" w16cid:durableId="414475267">
    <w:abstractNumId w:val="0"/>
  </w:num>
  <w:num w:numId="24" w16cid:durableId="1924412728">
    <w:abstractNumId w:val="9"/>
  </w:num>
  <w:num w:numId="25" w16cid:durableId="466902467">
    <w:abstractNumId w:val="11"/>
  </w:num>
  <w:num w:numId="26" w16cid:durableId="1434088829">
    <w:abstractNumId w:val="6"/>
  </w:num>
  <w:num w:numId="27" w16cid:durableId="921109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05B4A"/>
    <w:rsid w:val="0001467E"/>
    <w:rsid w:val="00014860"/>
    <w:rsid w:val="00014915"/>
    <w:rsid w:val="000210C0"/>
    <w:rsid w:val="00027E63"/>
    <w:rsid w:val="00041A66"/>
    <w:rsid w:val="00042D88"/>
    <w:rsid w:val="0005176E"/>
    <w:rsid w:val="000765F7"/>
    <w:rsid w:val="0007725F"/>
    <w:rsid w:val="00077AB7"/>
    <w:rsid w:val="00081CD8"/>
    <w:rsid w:val="0008358F"/>
    <w:rsid w:val="000A7F0E"/>
    <w:rsid w:val="000B1C8F"/>
    <w:rsid w:val="000C0D61"/>
    <w:rsid w:val="000C2AEA"/>
    <w:rsid w:val="000E7BA6"/>
    <w:rsid w:val="000F17F3"/>
    <w:rsid w:val="000F2A9F"/>
    <w:rsid w:val="000F3A3F"/>
    <w:rsid w:val="00102557"/>
    <w:rsid w:val="0011616B"/>
    <w:rsid w:val="00125C5B"/>
    <w:rsid w:val="001478D5"/>
    <w:rsid w:val="00147A38"/>
    <w:rsid w:val="00164D56"/>
    <w:rsid w:val="00164E64"/>
    <w:rsid w:val="00165F89"/>
    <w:rsid w:val="00167B10"/>
    <w:rsid w:val="0017254A"/>
    <w:rsid w:val="0017402F"/>
    <w:rsid w:val="0018502C"/>
    <w:rsid w:val="00190205"/>
    <w:rsid w:val="00196C1B"/>
    <w:rsid w:val="00196D3D"/>
    <w:rsid w:val="001A1264"/>
    <w:rsid w:val="001A6C3D"/>
    <w:rsid w:val="001B0F73"/>
    <w:rsid w:val="001C2DB7"/>
    <w:rsid w:val="001D14FE"/>
    <w:rsid w:val="001D5C04"/>
    <w:rsid w:val="001E39BE"/>
    <w:rsid w:val="001F25C2"/>
    <w:rsid w:val="001F26CF"/>
    <w:rsid w:val="00212B46"/>
    <w:rsid w:val="00212BAE"/>
    <w:rsid w:val="00212ED7"/>
    <w:rsid w:val="00216446"/>
    <w:rsid w:val="00222A2D"/>
    <w:rsid w:val="00223029"/>
    <w:rsid w:val="0022728C"/>
    <w:rsid w:val="00230ED0"/>
    <w:rsid w:val="00232E62"/>
    <w:rsid w:val="00234745"/>
    <w:rsid w:val="002351A6"/>
    <w:rsid w:val="002407AF"/>
    <w:rsid w:val="00245501"/>
    <w:rsid w:val="002466A5"/>
    <w:rsid w:val="00254B26"/>
    <w:rsid w:val="00255FB2"/>
    <w:rsid w:val="0026221A"/>
    <w:rsid w:val="0027466B"/>
    <w:rsid w:val="002814F6"/>
    <w:rsid w:val="002838A5"/>
    <w:rsid w:val="002855B7"/>
    <w:rsid w:val="00285BB4"/>
    <w:rsid w:val="00287386"/>
    <w:rsid w:val="00297834"/>
    <w:rsid w:val="002A0AB5"/>
    <w:rsid w:val="002A20C5"/>
    <w:rsid w:val="002A5DF7"/>
    <w:rsid w:val="002A7A01"/>
    <w:rsid w:val="002B0749"/>
    <w:rsid w:val="002B1655"/>
    <w:rsid w:val="002B40DB"/>
    <w:rsid w:val="002C09E3"/>
    <w:rsid w:val="002C6A2C"/>
    <w:rsid w:val="002D1244"/>
    <w:rsid w:val="002D140B"/>
    <w:rsid w:val="002D1CF2"/>
    <w:rsid w:val="002D75E0"/>
    <w:rsid w:val="00305796"/>
    <w:rsid w:val="00327AB4"/>
    <w:rsid w:val="00333F6C"/>
    <w:rsid w:val="00337CEB"/>
    <w:rsid w:val="00344854"/>
    <w:rsid w:val="00344B58"/>
    <w:rsid w:val="0034539A"/>
    <w:rsid w:val="00345CB4"/>
    <w:rsid w:val="00353518"/>
    <w:rsid w:val="00375D42"/>
    <w:rsid w:val="00385610"/>
    <w:rsid w:val="00393A21"/>
    <w:rsid w:val="003A1683"/>
    <w:rsid w:val="003A24F5"/>
    <w:rsid w:val="003C08E7"/>
    <w:rsid w:val="003C7091"/>
    <w:rsid w:val="003D069C"/>
    <w:rsid w:val="003D7646"/>
    <w:rsid w:val="003E51DD"/>
    <w:rsid w:val="003E6CE1"/>
    <w:rsid w:val="003F113A"/>
    <w:rsid w:val="003F2F0B"/>
    <w:rsid w:val="003F3E63"/>
    <w:rsid w:val="00407480"/>
    <w:rsid w:val="00414643"/>
    <w:rsid w:val="00424BAE"/>
    <w:rsid w:val="004313C4"/>
    <w:rsid w:val="00434995"/>
    <w:rsid w:val="004421E5"/>
    <w:rsid w:val="00442447"/>
    <w:rsid w:val="00442B00"/>
    <w:rsid w:val="00452284"/>
    <w:rsid w:val="00457C8E"/>
    <w:rsid w:val="00475E86"/>
    <w:rsid w:val="00480175"/>
    <w:rsid w:val="0048288E"/>
    <w:rsid w:val="004856CA"/>
    <w:rsid w:val="00486688"/>
    <w:rsid w:val="00487E67"/>
    <w:rsid w:val="004906B7"/>
    <w:rsid w:val="0049705E"/>
    <w:rsid w:val="004A2875"/>
    <w:rsid w:val="004A34A0"/>
    <w:rsid w:val="004B159A"/>
    <w:rsid w:val="004C1543"/>
    <w:rsid w:val="004C77F0"/>
    <w:rsid w:val="004C7C82"/>
    <w:rsid w:val="004F10BB"/>
    <w:rsid w:val="005008A8"/>
    <w:rsid w:val="00502AAE"/>
    <w:rsid w:val="005045C4"/>
    <w:rsid w:val="00510EED"/>
    <w:rsid w:val="0051121D"/>
    <w:rsid w:val="00517FD8"/>
    <w:rsid w:val="00526B7B"/>
    <w:rsid w:val="005274D2"/>
    <w:rsid w:val="005308CE"/>
    <w:rsid w:val="0053318C"/>
    <w:rsid w:val="0054535F"/>
    <w:rsid w:val="00573329"/>
    <w:rsid w:val="0057439C"/>
    <w:rsid w:val="005912DF"/>
    <w:rsid w:val="005960FA"/>
    <w:rsid w:val="005B0127"/>
    <w:rsid w:val="005B7A35"/>
    <w:rsid w:val="005C10E6"/>
    <w:rsid w:val="005C4B73"/>
    <w:rsid w:val="005C792B"/>
    <w:rsid w:val="005D2606"/>
    <w:rsid w:val="005E1D2B"/>
    <w:rsid w:val="005E7074"/>
    <w:rsid w:val="005F2BAF"/>
    <w:rsid w:val="005F6407"/>
    <w:rsid w:val="005F6627"/>
    <w:rsid w:val="005F6747"/>
    <w:rsid w:val="00600D93"/>
    <w:rsid w:val="006055D9"/>
    <w:rsid w:val="006155B5"/>
    <w:rsid w:val="00626BEA"/>
    <w:rsid w:val="00631192"/>
    <w:rsid w:val="0063300C"/>
    <w:rsid w:val="006467F5"/>
    <w:rsid w:val="00651A5B"/>
    <w:rsid w:val="0065292B"/>
    <w:rsid w:val="00655736"/>
    <w:rsid w:val="006574C6"/>
    <w:rsid w:val="00663B8D"/>
    <w:rsid w:val="00681BEE"/>
    <w:rsid w:val="00696C8D"/>
    <w:rsid w:val="006A2AC2"/>
    <w:rsid w:val="006A3617"/>
    <w:rsid w:val="006B4452"/>
    <w:rsid w:val="006B4B76"/>
    <w:rsid w:val="006C3678"/>
    <w:rsid w:val="006C4FC1"/>
    <w:rsid w:val="006E46E4"/>
    <w:rsid w:val="006E75EB"/>
    <w:rsid w:val="007166BB"/>
    <w:rsid w:val="00717DA5"/>
    <w:rsid w:val="007333D0"/>
    <w:rsid w:val="00744484"/>
    <w:rsid w:val="00747566"/>
    <w:rsid w:val="0075506D"/>
    <w:rsid w:val="007617CB"/>
    <w:rsid w:val="00773188"/>
    <w:rsid w:val="00783782"/>
    <w:rsid w:val="00784B8C"/>
    <w:rsid w:val="007879E1"/>
    <w:rsid w:val="007B08F9"/>
    <w:rsid w:val="007B13D8"/>
    <w:rsid w:val="007B2FCB"/>
    <w:rsid w:val="007B7492"/>
    <w:rsid w:val="007C2796"/>
    <w:rsid w:val="007C4992"/>
    <w:rsid w:val="007E1B1C"/>
    <w:rsid w:val="007E57AA"/>
    <w:rsid w:val="007F4A9E"/>
    <w:rsid w:val="007F4D77"/>
    <w:rsid w:val="00803EF3"/>
    <w:rsid w:val="008043BD"/>
    <w:rsid w:val="00821407"/>
    <w:rsid w:val="00823A11"/>
    <w:rsid w:val="0085405E"/>
    <w:rsid w:val="0085414A"/>
    <w:rsid w:val="00857EB9"/>
    <w:rsid w:val="0086269D"/>
    <w:rsid w:val="00863A53"/>
    <w:rsid w:val="0086543A"/>
    <w:rsid w:val="008724E5"/>
    <w:rsid w:val="008765C9"/>
    <w:rsid w:val="00884A9D"/>
    <w:rsid w:val="0088512B"/>
    <w:rsid w:val="008A08CE"/>
    <w:rsid w:val="008A1DB8"/>
    <w:rsid w:val="008A2B2D"/>
    <w:rsid w:val="008A4E1E"/>
    <w:rsid w:val="008A6458"/>
    <w:rsid w:val="008B21DE"/>
    <w:rsid w:val="008C296C"/>
    <w:rsid w:val="008D4305"/>
    <w:rsid w:val="008E1A85"/>
    <w:rsid w:val="008E344F"/>
    <w:rsid w:val="00912587"/>
    <w:rsid w:val="009163A7"/>
    <w:rsid w:val="0091798E"/>
    <w:rsid w:val="00922DA1"/>
    <w:rsid w:val="00937D53"/>
    <w:rsid w:val="00946A69"/>
    <w:rsid w:val="00946D0B"/>
    <w:rsid w:val="0095532B"/>
    <w:rsid w:val="00955877"/>
    <w:rsid w:val="00957D8E"/>
    <w:rsid w:val="00957E7B"/>
    <w:rsid w:val="00962034"/>
    <w:rsid w:val="009632D1"/>
    <w:rsid w:val="00986AF0"/>
    <w:rsid w:val="00994671"/>
    <w:rsid w:val="009A18CD"/>
    <w:rsid w:val="009D3A5F"/>
    <w:rsid w:val="009D5428"/>
    <w:rsid w:val="009E0577"/>
    <w:rsid w:val="009E2937"/>
    <w:rsid w:val="00A12558"/>
    <w:rsid w:val="00A132C4"/>
    <w:rsid w:val="00A13903"/>
    <w:rsid w:val="00A1770C"/>
    <w:rsid w:val="00A32245"/>
    <w:rsid w:val="00A34ED5"/>
    <w:rsid w:val="00A4501C"/>
    <w:rsid w:val="00A45DBF"/>
    <w:rsid w:val="00A55919"/>
    <w:rsid w:val="00A60F7E"/>
    <w:rsid w:val="00A725CF"/>
    <w:rsid w:val="00A755A2"/>
    <w:rsid w:val="00A91430"/>
    <w:rsid w:val="00AA2D7A"/>
    <w:rsid w:val="00AA4914"/>
    <w:rsid w:val="00AA590D"/>
    <w:rsid w:val="00AA6660"/>
    <w:rsid w:val="00AB257B"/>
    <w:rsid w:val="00AB2C36"/>
    <w:rsid w:val="00AB6DDE"/>
    <w:rsid w:val="00AB70B6"/>
    <w:rsid w:val="00AC18C1"/>
    <w:rsid w:val="00AC6FB7"/>
    <w:rsid w:val="00AD1A86"/>
    <w:rsid w:val="00AD336E"/>
    <w:rsid w:val="00AD5C46"/>
    <w:rsid w:val="00AE103E"/>
    <w:rsid w:val="00AF0A07"/>
    <w:rsid w:val="00AF4AEC"/>
    <w:rsid w:val="00AF625E"/>
    <w:rsid w:val="00B0416F"/>
    <w:rsid w:val="00B04DA5"/>
    <w:rsid w:val="00B139BE"/>
    <w:rsid w:val="00B2172B"/>
    <w:rsid w:val="00B34428"/>
    <w:rsid w:val="00B458A7"/>
    <w:rsid w:val="00B713BE"/>
    <w:rsid w:val="00B81BB0"/>
    <w:rsid w:val="00B87E19"/>
    <w:rsid w:val="00B917D2"/>
    <w:rsid w:val="00B97EB3"/>
    <w:rsid w:val="00BA241A"/>
    <w:rsid w:val="00BB04AF"/>
    <w:rsid w:val="00BB6EEC"/>
    <w:rsid w:val="00BC652F"/>
    <w:rsid w:val="00BD52C9"/>
    <w:rsid w:val="00BE5714"/>
    <w:rsid w:val="00BE6354"/>
    <w:rsid w:val="00BF1B48"/>
    <w:rsid w:val="00C138D1"/>
    <w:rsid w:val="00C23A97"/>
    <w:rsid w:val="00C30BBE"/>
    <w:rsid w:val="00C52EBE"/>
    <w:rsid w:val="00C5776D"/>
    <w:rsid w:val="00C64855"/>
    <w:rsid w:val="00C65D3F"/>
    <w:rsid w:val="00C706D1"/>
    <w:rsid w:val="00C70EA7"/>
    <w:rsid w:val="00C7433F"/>
    <w:rsid w:val="00C7516E"/>
    <w:rsid w:val="00C75770"/>
    <w:rsid w:val="00C76B27"/>
    <w:rsid w:val="00C77B9C"/>
    <w:rsid w:val="00C913BB"/>
    <w:rsid w:val="00CA352E"/>
    <w:rsid w:val="00CA4765"/>
    <w:rsid w:val="00CA5282"/>
    <w:rsid w:val="00CA56BB"/>
    <w:rsid w:val="00CB0542"/>
    <w:rsid w:val="00CD2851"/>
    <w:rsid w:val="00CD610C"/>
    <w:rsid w:val="00CF5668"/>
    <w:rsid w:val="00D00B2B"/>
    <w:rsid w:val="00D2006D"/>
    <w:rsid w:val="00D24877"/>
    <w:rsid w:val="00D60C46"/>
    <w:rsid w:val="00D63318"/>
    <w:rsid w:val="00D7105A"/>
    <w:rsid w:val="00D80E57"/>
    <w:rsid w:val="00D8250F"/>
    <w:rsid w:val="00D86BB3"/>
    <w:rsid w:val="00D90142"/>
    <w:rsid w:val="00D95C4C"/>
    <w:rsid w:val="00DA36ED"/>
    <w:rsid w:val="00DA3B4A"/>
    <w:rsid w:val="00DC49CB"/>
    <w:rsid w:val="00DC76D8"/>
    <w:rsid w:val="00DD1A4C"/>
    <w:rsid w:val="00DD47D8"/>
    <w:rsid w:val="00DE25DF"/>
    <w:rsid w:val="00DE34F1"/>
    <w:rsid w:val="00DE57E5"/>
    <w:rsid w:val="00DE6160"/>
    <w:rsid w:val="00DF4942"/>
    <w:rsid w:val="00E2125F"/>
    <w:rsid w:val="00E244E1"/>
    <w:rsid w:val="00E4150C"/>
    <w:rsid w:val="00E426C4"/>
    <w:rsid w:val="00E503E8"/>
    <w:rsid w:val="00E61198"/>
    <w:rsid w:val="00E627B1"/>
    <w:rsid w:val="00E63241"/>
    <w:rsid w:val="00E70169"/>
    <w:rsid w:val="00E9376C"/>
    <w:rsid w:val="00E937BA"/>
    <w:rsid w:val="00E95AE2"/>
    <w:rsid w:val="00E97A74"/>
    <w:rsid w:val="00EA335E"/>
    <w:rsid w:val="00EA528C"/>
    <w:rsid w:val="00EA580C"/>
    <w:rsid w:val="00EB0759"/>
    <w:rsid w:val="00EC1A6A"/>
    <w:rsid w:val="00EC6F8D"/>
    <w:rsid w:val="00ED39B2"/>
    <w:rsid w:val="00ED6230"/>
    <w:rsid w:val="00EE49F4"/>
    <w:rsid w:val="00EF34E2"/>
    <w:rsid w:val="00F14A14"/>
    <w:rsid w:val="00F30C83"/>
    <w:rsid w:val="00F30DC6"/>
    <w:rsid w:val="00F31F96"/>
    <w:rsid w:val="00F32C23"/>
    <w:rsid w:val="00F34916"/>
    <w:rsid w:val="00F40E3D"/>
    <w:rsid w:val="00F502F6"/>
    <w:rsid w:val="00F53DE9"/>
    <w:rsid w:val="00F560D9"/>
    <w:rsid w:val="00F576CB"/>
    <w:rsid w:val="00F7035D"/>
    <w:rsid w:val="00F70CC5"/>
    <w:rsid w:val="00F71A02"/>
    <w:rsid w:val="00F91E1F"/>
    <w:rsid w:val="00F92288"/>
    <w:rsid w:val="00F96047"/>
    <w:rsid w:val="00FA0D63"/>
    <w:rsid w:val="00FC339A"/>
    <w:rsid w:val="00FD0496"/>
    <w:rsid w:val="00FD1226"/>
    <w:rsid w:val="00FD4BC8"/>
    <w:rsid w:val="00FF4830"/>
    <w:rsid w:val="00FF626E"/>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iPriority w:val="99"/>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rPr>
  </w:style>
  <w:style w:type="paragraph" w:customStyle="1" w:styleId="GAPara">
    <w:name w:val="GA Para"/>
    <w:qFormat/>
    <w:rsid w:val="00A60F7E"/>
    <w:pPr>
      <w:spacing w:after="120"/>
      <w:ind w:left="720" w:hanging="360"/>
    </w:pPr>
    <w:rPr>
      <w:rFonts w:ascii="Arial" w:eastAsia="Times New Roman" w:hAnsi="Arial" w:cs="Arial"/>
      <w:snapToGrid w:val="0"/>
      <w:sz w:val="22"/>
      <w:szCs w:val="22"/>
      <w:lang w:eastAsia="en-US"/>
    </w:rPr>
  </w:style>
  <w:style w:type="character" w:styleId="Lienhypertexte">
    <w:name w:val="Hyperlink"/>
    <w:unhideWhenUsed/>
    <w:rsid w:val="00A60F7E"/>
    <w:rPr>
      <w:color w:val="0000FF"/>
      <w:u w:val="single"/>
    </w:rPr>
  </w:style>
  <w:style w:type="character" w:styleId="Mentionnonrsolue">
    <w:name w:val="Unresolved Mention"/>
    <w:basedOn w:val="Policepardfaut"/>
    <w:uiPriority w:val="99"/>
    <w:semiHidden/>
    <w:unhideWhenUsed/>
    <w:rsid w:val="00A60F7E"/>
    <w:rPr>
      <w:color w:val="605E5C"/>
      <w:shd w:val="clear" w:color="auto" w:fill="E1DFDD"/>
    </w:rPr>
  </w:style>
  <w:style w:type="character" w:styleId="Lienhypertextesuivivisit">
    <w:name w:val="FollowedHyperlink"/>
    <w:basedOn w:val="Policepardfaut"/>
    <w:uiPriority w:val="99"/>
    <w:semiHidden/>
    <w:unhideWhenUsed/>
    <w:rsid w:val="00AA2D7A"/>
    <w:rPr>
      <w:color w:val="800080" w:themeColor="followedHyperlink"/>
      <w:u w:val="single"/>
    </w:rPr>
  </w:style>
  <w:style w:type="character" w:styleId="Marquedecommentaire">
    <w:name w:val="annotation reference"/>
    <w:basedOn w:val="Policepardfaut"/>
    <w:uiPriority w:val="99"/>
    <w:semiHidden/>
    <w:unhideWhenUsed/>
    <w:rsid w:val="0075506D"/>
    <w:rPr>
      <w:sz w:val="16"/>
      <w:szCs w:val="16"/>
    </w:rPr>
  </w:style>
  <w:style w:type="paragraph" w:styleId="Commentaire">
    <w:name w:val="annotation text"/>
    <w:basedOn w:val="Normal"/>
    <w:link w:val="CommentaireCar"/>
    <w:uiPriority w:val="99"/>
    <w:unhideWhenUsed/>
    <w:rsid w:val="0075506D"/>
    <w:rPr>
      <w:sz w:val="20"/>
      <w:szCs w:val="20"/>
    </w:rPr>
  </w:style>
  <w:style w:type="character" w:customStyle="1" w:styleId="CommentaireCar">
    <w:name w:val="Commentaire Car"/>
    <w:basedOn w:val="Policepardfaut"/>
    <w:link w:val="Commentaire"/>
    <w:uiPriority w:val="99"/>
    <w:rsid w:val="0075506D"/>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75506D"/>
    <w:rPr>
      <w:b/>
      <w:bCs/>
    </w:rPr>
  </w:style>
  <w:style w:type="character" w:customStyle="1" w:styleId="ObjetducommentaireCar">
    <w:name w:val="Objet du commentaire Car"/>
    <w:basedOn w:val="CommentaireCar"/>
    <w:link w:val="Objetducommentaire"/>
    <w:uiPriority w:val="99"/>
    <w:semiHidden/>
    <w:rsid w:val="0075506D"/>
    <w:rPr>
      <w:rFonts w:ascii="Times New Roman" w:eastAsia="Times New Roman" w:hAnsi="Times New Roman"/>
      <w:b/>
      <w:bCs/>
    </w:rPr>
  </w:style>
  <w:style w:type="paragraph" w:customStyle="1" w:styleId="COMParabodytext">
    <w:name w:val="COM Para body text"/>
    <w:basedOn w:val="Normal"/>
    <w:qFormat/>
    <w:rsid w:val="005912DF"/>
    <w:pPr>
      <w:tabs>
        <w:tab w:val="left" w:pos="567"/>
      </w:tabs>
      <w:snapToGrid w:val="0"/>
      <w:spacing w:after="120"/>
      <w:jc w:val="both"/>
    </w:pPr>
    <w:rPr>
      <w:rFonts w:ascii="Arial" w:hAnsi="Arial" w:cs="Arial"/>
      <w:snapToGrid w:val="0"/>
      <w:sz w:val="22"/>
      <w:szCs w:val="22"/>
      <w:lang w:eastAsia="en-US"/>
    </w:rPr>
  </w:style>
  <w:style w:type="paragraph" w:styleId="Rvision">
    <w:name w:val="Revision"/>
    <w:hidden/>
    <w:uiPriority w:val="99"/>
    <w:semiHidden/>
    <w:rsid w:val="007B2FCB"/>
    <w:rPr>
      <w:rFonts w:ascii="Times New Roman" w:eastAsia="Times New Roman" w:hAnsi="Times New Roman"/>
      <w:sz w:val="24"/>
      <w:szCs w:val="24"/>
    </w:rPr>
  </w:style>
  <w:style w:type="character" w:customStyle="1" w:styleId="ui-provider">
    <w:name w:val="ui-provider"/>
    <w:basedOn w:val="Policepardfaut"/>
    <w:rsid w:val="007F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95907319">
      <w:bodyDiv w:val="1"/>
      <w:marLeft w:val="0"/>
      <w:marRight w:val="0"/>
      <w:marTop w:val="0"/>
      <w:marBottom w:val="0"/>
      <w:divBdr>
        <w:top w:val="none" w:sz="0" w:space="0" w:color="auto"/>
        <w:left w:val="none" w:sz="0" w:space="0" w:color="auto"/>
        <w:bottom w:val="none" w:sz="0" w:space="0" w:color="auto"/>
        <w:right w:val="none" w:sz="0" w:space="0" w:color="auto"/>
      </w:divBdr>
    </w:div>
    <w:div w:id="119133720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690136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doc/src/LHE-24-10.GA-INF.8_FR.docx" TargetMode="External"/><Relationship Id="rId18" Type="http://schemas.openxmlformats.org/officeDocument/2006/relationships/image" Target="media/image1.png"/><Relationship Id="rId26" Type="http://schemas.openxmlformats.org/officeDocument/2006/relationships/hyperlink" Target="https://ich.unesco.org/fr/decisions/9.GA/10" TargetMode="External"/><Relationship Id="rId39" Type="http://schemas.openxmlformats.org/officeDocument/2006/relationships/hyperlink" Target="https://ich.unesco.org/doc/src/LHE-21-16.COM-INF.10_Rev.-FR.pdf" TargetMode="External"/><Relationship Id="rId21" Type="http://schemas.openxmlformats.org/officeDocument/2006/relationships/hyperlink" Target="https://ich.unesco.org/doc/src/63471-FR.pdf" TargetMode="External"/><Relationship Id="rId34" Type="http://schemas.openxmlformats.org/officeDocument/2006/relationships/hyperlink" Target="https://unesdoc.unesco.org/ark:/48223/pf0000388394_fre/PDF/388394fre.pdf.multi" TargetMode="External"/><Relationship Id="rId42" Type="http://schemas.openxmlformats.org/officeDocument/2006/relationships/hyperlink" Target="https://ich.unesco.org/fr/situations-d-urgence" TargetMode="External"/><Relationship Id="rId47" Type="http://schemas.openxmlformats.org/officeDocument/2006/relationships/hyperlink" Target="https://ich.unesco.org/fr/anniversaire" TargetMode="External"/><Relationship Id="rId50" Type="http://schemas.openxmlformats.org/officeDocument/2006/relationships/hyperlink" Target="https://ich.unesco.org/fr/decisions/18.COM/11" TargetMode="External"/><Relationship Id="rId55" Type="http://schemas.openxmlformats.org/officeDocument/2006/relationships/hyperlink" Target="https://unesdoc.unesco.org/ark:/48223/pf0000388394_fre/PDF/388394fre.pdf.mult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doc/src/LHE-24-10.GA-INF.8_FR.docx" TargetMode="External"/><Relationship Id="rId20" Type="http://schemas.openxmlformats.org/officeDocument/2006/relationships/image" Target="media/image2.png"/><Relationship Id="rId29" Type="http://schemas.openxmlformats.org/officeDocument/2006/relationships/hyperlink" Target="https://ich.unesco.org/doc/src/LHE-21-16.COM-10_Rev.-FR.docx" TargetMode="External"/><Relationship Id="rId41" Type="http://schemas.openxmlformats.org/officeDocument/2006/relationships/hyperlink" Target="https://ich.unesco.org/doc/src/LHE-23-18.COM-12_FR_Rev..docx" TargetMode="External"/><Relationship Id="rId54" Type="http://schemas.openxmlformats.org/officeDocument/2006/relationships/hyperlink" Target="https://ich.unesco.org/doc/src/LHE-24-10.GA-INF.8_FR.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9.GA/10" TargetMode="External"/><Relationship Id="rId24" Type="http://schemas.openxmlformats.org/officeDocument/2006/relationships/hyperlink" Target="https://ich.unesco.org/fr/decisions/9.GA/10" TargetMode="External"/><Relationship Id="rId32" Type="http://schemas.openxmlformats.org/officeDocument/2006/relationships/hyperlink" Target="https://ich.unesco.org/fr/decisions/14.COM/7" TargetMode="External"/><Relationship Id="rId37" Type="http://schemas.openxmlformats.org/officeDocument/2006/relationships/hyperlink" Target="https://www.unesco.org/fr/articles/conference-mondiale-de-lunesco-sur-les-politiques-culturelles-et-le-developpement-durable-mondiacult" TargetMode="External"/><Relationship Id="rId40" Type="http://schemas.openxmlformats.org/officeDocument/2006/relationships/hyperlink" Target="https://ich.unesco.org/fr/moyens-de-subsistance-01315" TargetMode="External"/><Relationship Id="rId45" Type="http://schemas.openxmlformats.org/officeDocument/2006/relationships/hyperlink" Target="https://ich.unesco.org/doc/src/LHE-24-10.GA-7_FR.docx" TargetMode="External"/><Relationship Id="rId53" Type="http://schemas.openxmlformats.org/officeDocument/2006/relationships/hyperlink" Target="https://ich.unesco.org/fr/decisions/18.COM/14"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ch.unesco.org/doc/src/LHE-23-18.COM-14_FR.docx" TargetMode="External"/><Relationship Id="rId23" Type="http://schemas.openxmlformats.org/officeDocument/2006/relationships/hyperlink" Target="https://ich.unesco.org/fr/decisions/8.GA/7" TargetMode="External"/><Relationship Id="rId28" Type="http://schemas.openxmlformats.org/officeDocument/2006/relationships/hyperlink" Target="https://ich.unesco.org/fr/decisions/18.COM/14" TargetMode="External"/><Relationship Id="rId36" Type="http://schemas.openxmlformats.org/officeDocument/2006/relationships/hyperlink" Target="https://ich.unesco.org/doc/src/61291-FR.pdf" TargetMode="External"/><Relationship Id="rId49" Type="http://schemas.openxmlformats.org/officeDocument/2006/relationships/hyperlink" Target="https://ich.unesco.org/fr/decisions/17.COM/15"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s://ich.unesco.org/doc/src/LHE-24-10.GA-INF.8_FR.docx" TargetMode="External"/><Relationship Id="rId19" Type="http://schemas.openxmlformats.org/officeDocument/2006/relationships/hyperlink" Target="https://ich.unesco.org/doc/src/LHE-23-18.COM-10_FR.docx" TargetMode="External"/><Relationship Id="rId31" Type="http://schemas.openxmlformats.org/officeDocument/2006/relationships/hyperlink" Target="https://ich.unesco.org/fr/decisions/18.COM/10" TargetMode="External"/><Relationship Id="rId44" Type="http://schemas.openxmlformats.org/officeDocument/2006/relationships/hyperlink" Target="https://ich.unesco.org/doc/src/LHE-21-16.COM-INF.10_Rev.-FR.pdf" TargetMode="External"/><Relationship Id="rId52" Type="http://schemas.openxmlformats.org/officeDocument/2006/relationships/hyperlink" Target="https://ich.unesco.org/doc/src/LHE-24-10.GA-INF.8_FR.docx"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doc/src/2003_Convention_Basic_Texts_2022_version-FR.pdf" TargetMode="External"/><Relationship Id="rId14" Type="http://schemas.openxmlformats.org/officeDocument/2006/relationships/hyperlink" Target="https://ich.unesco.org/doc/src/LHE-24-10.GA-INF.8_FR.docx" TargetMode="External"/><Relationship Id="rId22" Type="http://schemas.openxmlformats.org/officeDocument/2006/relationships/hyperlink" Target="https://ich.unesco.org/fr/r%C3%A9solutions/3.GA/9" TargetMode="External"/><Relationship Id="rId27" Type="http://schemas.openxmlformats.org/officeDocument/2006/relationships/hyperlink" Target="https://ich.unesco.org/fr/decisions/16.COM/13" TargetMode="External"/><Relationship Id="rId30" Type="http://schemas.openxmlformats.org/officeDocument/2006/relationships/hyperlink" Target="https://ich.unesco.org/fr/decisions/7.GA/8" TargetMode="External"/><Relationship Id="rId35" Type="http://schemas.openxmlformats.org/officeDocument/2006/relationships/hyperlink" Target="https://ich.unesco.org/en/decisions/18.COM/14" TargetMode="External"/><Relationship Id="rId43" Type="http://schemas.openxmlformats.org/officeDocument/2006/relationships/hyperlink" Target="https://ich.unesco.org/fr/education" TargetMode="External"/><Relationship Id="rId48" Type="http://schemas.openxmlformats.org/officeDocument/2006/relationships/hyperlink" Target="https://ich.unesco.org/fr/plongez" TargetMode="External"/><Relationship Id="rId56" Type="http://schemas.openxmlformats.org/officeDocument/2006/relationships/hyperlink" Target="https://ich.unesco.org/fr/decisions/10.COM/8" TargetMode="External"/><Relationship Id="rId8" Type="http://schemas.openxmlformats.org/officeDocument/2006/relationships/hyperlink" Target="https://ich.unesco.org/fr/decisions/18.COM/14" TargetMode="External"/><Relationship Id="rId51" Type="http://schemas.openxmlformats.org/officeDocument/2006/relationships/hyperlink" Target="https://ich.unesco.org/fr/decisions/9.GA/10" TargetMode="External"/><Relationship Id="rId3" Type="http://schemas.openxmlformats.org/officeDocument/2006/relationships/styles" Target="styles.xml"/><Relationship Id="rId12" Type="http://schemas.openxmlformats.org/officeDocument/2006/relationships/hyperlink" Target="https://ich.unesco.org/fr/decisions/16.COM/12" TargetMode="External"/><Relationship Id="rId17" Type="http://schemas.openxmlformats.org/officeDocument/2006/relationships/hyperlink" Target="https://ich.unesco.org/doc/src/LHE-24-10.GA-6_FR.docx" TargetMode="External"/><Relationship Id="rId25" Type="http://schemas.openxmlformats.org/officeDocument/2006/relationships/hyperlink" Target="https://ich.unesco.org/doc/src/LHE-21-16.COM-INF.10_Rev.-FR.pdf" TargetMode="External"/><Relationship Id="rId33" Type="http://schemas.openxmlformats.org/officeDocument/2006/relationships/hyperlink" Target="https://unesdoc.unesco.org/ark:/48223/pf0000388394_fre/PDF/388394fre.pdf.multi" TargetMode="External"/><Relationship Id="rId38" Type="http://schemas.openxmlformats.org/officeDocument/2006/relationships/hyperlink" Target="https://ich.unesco.org/doc/src/LHE-21-16.COM-INF.10_Rev.-FR.pdf" TargetMode="External"/><Relationship Id="rId46" Type="http://schemas.openxmlformats.org/officeDocument/2006/relationships/hyperlink" Target="https://ich.unesco.org/doc/src/LHE-21-16.COM-INF.10_Rev.-FR.pdf" TargetMode="External"/><Relationship Id="rId59"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fr/decisions/8.COM/7.C" TargetMode="External"/><Relationship Id="rId2" Type="http://schemas.openxmlformats.org/officeDocument/2006/relationships/hyperlink" Target="https://ich.unesco.org/doc/src/2003_Convention_Basic_Texts_2022_version-FR.pdf" TargetMode="External"/><Relationship Id="rId1" Type="http://schemas.openxmlformats.org/officeDocument/2006/relationships/hyperlink" Target="https://unesco.sharepoint.com/sites/ms/en-US/Shared%20Documents/Forms/AllItems.aspx?id=%2Fsites%2Fms%2Fen%2DUS%2FShared%20Documents%2FMember%20States%20Assessed%20Contributions%2FICH%2DStatus%2Dof%2DContributions%2Epdf&amp;parent=%2Fsites%2Fms%2Fen%2DUS%2FShared%20Documents%2FMember%20States%20Assessed%20Contribu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337</TotalTime>
  <Pages>14</Pages>
  <Words>7038</Words>
  <Characters>38714</Characters>
  <Application>Microsoft Office Word</Application>
  <DocSecurity>0</DocSecurity>
  <Lines>322</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45661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20</cp:revision>
  <cp:lastPrinted>2024-04-22T11:12:00Z</cp:lastPrinted>
  <dcterms:created xsi:type="dcterms:W3CDTF">2024-05-11T09:14:00Z</dcterms:created>
  <dcterms:modified xsi:type="dcterms:W3CDTF">2024-05-24T17:04:00Z</dcterms:modified>
</cp:coreProperties>
</file>